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South African mobile telecoms channel satisfaction questionnaire</w:t>
      </w:r>
    </w:p>
    <w:p>
      <w:r>
        <w:t>Channel tracker | Three synthetic waves | Version 3 additive expansion 30 October 2026</w:t>
      </w:r>
    </w:p>
    <w:p>
      <w:r>
        <w:t>Measure the most recent experience in each channel used during the past 30 days. Use this questionnaire with the three Channel wave files. One row represents one customer and one used channel in one wave. Overall company ratings are collected in the separate Company questionnaire.</w:t>
      </w:r>
    </w:p>
    <w:p>
      <w:pPr>
        <w:pStyle w:val="Heading1"/>
      </w:pPr>
      <w:r>
        <w:rPr>
          <w:color w:val="000000"/>
        </w:rPr>
        <w:t>Population sample and recall</w:t>
      </w:r>
    </w:p>
    <w:p>
      <w:r>
        <w:t>Adults 18–69 who currently use a personal mobile voice or data service. Evaluate the provider of the connection used most, not every SIM owned. Include prepaid, contract and hybrid. Exclude fixed fibre and home-only fixed wireless.</w:t>
      </w:r>
    </w:p>
    <w:p>
      <w:r>
        <w:t>Screen current customers for channel use in the past 30 days, then repeat the experience questions for each selected channel. Customers with no recent channel use contribute no experience rows. If linked to the Company tracker, carry forward respondent_id, wave, company, demographics and tenure instead of asking them again. The linked demonstration uses the same 1,000 customers per sector per wave.</w:t>
      </w:r>
    </w:p>
    <w:p>
      <w:r>
        <w:t>The historical Ask Afrika Word attachment is a general questionnaire template with several unrelated examples, not a CSM-specific instrument. Its question/routing conventions inform the format. The earlier workbook supplies the company/call-centre split, IVR, process audit, service drivers and loyalty concepts. Neither file is overwritten.</w:t>
      </w:r>
    </w:p>
    <w:p>
      <w:pPr>
        <w:pStyle w:val="Heading2"/>
      </w:pPr>
      <w:r>
        <w:rPr>
          <w:color w:val="000000"/>
        </w:rPr>
        <w:t>S1 How old are you, and do you currently use an eligible personal service?</w:t>
      </w:r>
    </w:p>
    <w:p>
      <w:pPr>
        <w:keepNext/>
      </w:pPr>
      <w:r>
        <w:t>Response: Age plus eligibility. Ask: all.</w:t>
      </w:r>
    </w:p>
    <w:p>
      <w:r>
        <w:t>Codes and programming: Age 18–69 and current service required. Record main company code and stable anonymous text respondent_id. No names, accounts, policy or phone numbers.</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pPr>
              <w:spacing w:after="60"/>
            </w:pPr>
            <w:r>
              <w:rPr>
                <w:sz w:val="18"/>
              </w:rPr>
              <w:t>Code</w:t>
            </w:r>
          </w:p>
        </w:tc>
        <w:tc>
          <w:tcPr>
            <w:tcW w:type="dxa" w:w="3360"/>
          </w:tcPr>
          <w:p>
            <w:pPr>
              <w:spacing w:after="60"/>
            </w:pPr>
            <w:r>
              <w:rPr>
                <w:sz w:val="18"/>
              </w:rPr>
              <w:t>Main company</w:t>
            </w:r>
          </w:p>
        </w:tc>
        <w:tc>
          <w:tcPr>
            <w:tcW w:type="dxa" w:w="3360"/>
          </w:tcPr>
          <w:p>
            <w:pPr>
              <w:spacing w:after="60"/>
            </w:pPr>
            <w:r>
              <w:rPr>
                <w:sz w:val="18"/>
              </w:rPr>
              <w:t>Allocated cases per wave</w:t>
            </w:r>
          </w:p>
        </w:tc>
      </w:tr>
      <w:tr>
        <w:tc>
          <w:tcPr>
            <w:tcW w:type="dxa" w:w="3360"/>
          </w:tcPr>
          <w:p>
            <w:pPr>
              <w:spacing w:after="60"/>
            </w:pPr>
            <w:r>
              <w:rPr>
                <w:sz w:val="18"/>
              </w:rPr>
              <w:t>1</w:t>
            </w:r>
          </w:p>
        </w:tc>
        <w:tc>
          <w:tcPr>
            <w:tcW w:type="dxa" w:w="3360"/>
          </w:tcPr>
          <w:p>
            <w:pPr>
              <w:spacing w:after="60"/>
            </w:pPr>
            <w:r>
              <w:rPr>
                <w:sz w:val="18"/>
              </w:rPr>
              <w:t>Vodacom</w:t>
            </w:r>
          </w:p>
        </w:tc>
        <w:tc>
          <w:tcPr>
            <w:tcW w:type="dxa" w:w="3360"/>
          </w:tcPr>
          <w:p>
            <w:pPr>
              <w:spacing w:after="60"/>
            </w:pPr>
            <w:r>
              <w:rPr>
                <w:sz w:val="18"/>
              </w:rPr>
              <w:t>320</w:t>
            </w:r>
          </w:p>
        </w:tc>
      </w:tr>
      <w:tr>
        <w:tc>
          <w:tcPr>
            <w:tcW w:type="dxa" w:w="3360"/>
          </w:tcPr>
          <w:p>
            <w:pPr>
              <w:spacing w:after="60"/>
            </w:pPr>
            <w:r>
              <w:rPr>
                <w:sz w:val="18"/>
              </w:rPr>
              <w:t>2</w:t>
            </w:r>
          </w:p>
        </w:tc>
        <w:tc>
          <w:tcPr>
            <w:tcW w:type="dxa" w:w="3360"/>
          </w:tcPr>
          <w:p>
            <w:pPr>
              <w:spacing w:after="60"/>
            </w:pPr>
            <w:r>
              <w:rPr>
                <w:sz w:val="18"/>
              </w:rPr>
              <w:t>MTN</w:t>
            </w:r>
          </w:p>
        </w:tc>
        <w:tc>
          <w:tcPr>
            <w:tcW w:type="dxa" w:w="3360"/>
          </w:tcPr>
          <w:p>
            <w:pPr>
              <w:spacing w:after="60"/>
            </w:pPr>
            <w:r>
              <w:rPr>
                <w:sz w:val="18"/>
              </w:rPr>
              <w:t>300</w:t>
            </w:r>
          </w:p>
        </w:tc>
      </w:tr>
      <w:tr>
        <w:tc>
          <w:tcPr>
            <w:tcW w:type="dxa" w:w="3360"/>
          </w:tcPr>
          <w:p>
            <w:pPr>
              <w:spacing w:after="60"/>
            </w:pPr>
            <w:r>
              <w:rPr>
                <w:sz w:val="18"/>
              </w:rPr>
              <w:t>3</w:t>
            </w:r>
          </w:p>
        </w:tc>
        <w:tc>
          <w:tcPr>
            <w:tcW w:type="dxa" w:w="3360"/>
          </w:tcPr>
          <w:p>
            <w:pPr>
              <w:spacing w:after="60"/>
            </w:pPr>
            <w:r>
              <w:rPr>
                <w:sz w:val="18"/>
              </w:rPr>
              <w:t>Telkom Mobile</w:t>
            </w:r>
          </w:p>
        </w:tc>
        <w:tc>
          <w:tcPr>
            <w:tcW w:type="dxa" w:w="3360"/>
          </w:tcPr>
          <w:p>
            <w:pPr>
              <w:spacing w:after="60"/>
            </w:pPr>
            <w:r>
              <w:rPr>
                <w:sz w:val="18"/>
              </w:rPr>
              <w:t>160</w:t>
            </w:r>
          </w:p>
        </w:tc>
      </w:tr>
      <w:tr>
        <w:tc>
          <w:tcPr>
            <w:tcW w:type="dxa" w:w="3360"/>
          </w:tcPr>
          <w:p>
            <w:pPr>
              <w:spacing w:after="60"/>
            </w:pPr>
            <w:r>
              <w:rPr>
                <w:sz w:val="18"/>
              </w:rPr>
              <w:t>4</w:t>
            </w:r>
          </w:p>
        </w:tc>
        <w:tc>
          <w:tcPr>
            <w:tcW w:type="dxa" w:w="3360"/>
          </w:tcPr>
          <w:p>
            <w:pPr>
              <w:spacing w:after="60"/>
            </w:pPr>
            <w:r>
              <w:rPr>
                <w:sz w:val="18"/>
              </w:rPr>
              <w:t>Cell C</w:t>
            </w:r>
          </w:p>
        </w:tc>
        <w:tc>
          <w:tcPr>
            <w:tcW w:type="dxa" w:w="3360"/>
          </w:tcPr>
          <w:p>
            <w:pPr>
              <w:spacing w:after="60"/>
            </w:pPr>
            <w:r>
              <w:rPr>
                <w:sz w:val="18"/>
              </w:rPr>
              <w:t>100</w:t>
            </w:r>
          </w:p>
        </w:tc>
      </w:tr>
      <w:tr>
        <w:tc>
          <w:tcPr>
            <w:tcW w:type="dxa" w:w="3360"/>
          </w:tcPr>
          <w:p>
            <w:pPr>
              <w:spacing w:after="60"/>
            </w:pPr>
            <w:r>
              <w:rPr>
                <w:sz w:val="18"/>
              </w:rPr>
              <w:t>5</w:t>
            </w:r>
          </w:p>
        </w:tc>
        <w:tc>
          <w:tcPr>
            <w:tcW w:type="dxa" w:w="3360"/>
          </w:tcPr>
          <w:p>
            <w:pPr>
              <w:spacing w:after="60"/>
            </w:pPr>
            <w:r>
              <w:rPr>
                <w:sz w:val="18"/>
              </w:rPr>
              <w:t>FNB Connect</w:t>
            </w:r>
          </w:p>
        </w:tc>
        <w:tc>
          <w:tcPr>
            <w:tcW w:type="dxa" w:w="3360"/>
          </w:tcPr>
          <w:p>
            <w:pPr>
              <w:spacing w:after="60"/>
            </w:pPr>
            <w:r>
              <w:rPr>
                <w:sz w:val="18"/>
              </w:rPr>
              <w:t>60</w:t>
            </w:r>
          </w:p>
        </w:tc>
      </w:tr>
      <w:tr>
        <w:tc>
          <w:tcPr>
            <w:tcW w:type="dxa" w:w="3360"/>
          </w:tcPr>
          <w:p>
            <w:pPr>
              <w:spacing w:after="60"/>
            </w:pPr>
            <w:r>
              <w:rPr>
                <w:sz w:val="18"/>
              </w:rPr>
              <w:t>6</w:t>
            </w:r>
          </w:p>
        </w:tc>
        <w:tc>
          <w:tcPr>
            <w:tcW w:type="dxa" w:w="3360"/>
          </w:tcPr>
          <w:p>
            <w:pPr>
              <w:spacing w:after="60"/>
            </w:pPr>
            <w:r>
              <w:rPr>
                <w:sz w:val="18"/>
              </w:rPr>
              <w:t>Capitec Connect</w:t>
            </w:r>
          </w:p>
        </w:tc>
        <w:tc>
          <w:tcPr>
            <w:tcW w:type="dxa" w:w="3360"/>
          </w:tcPr>
          <w:p>
            <w:pPr>
              <w:spacing w:after="60"/>
            </w:pPr>
            <w:r>
              <w:rPr>
                <w:sz w:val="18"/>
              </w:rPr>
              <w:t>60</w:t>
            </w:r>
          </w:p>
        </w:tc>
      </w:tr>
    </w:tbl>
    <w:p>
      <w:pPr>
        <w:pStyle w:val="Heading2"/>
      </w:pPr>
      <w:r>
        <w:rPr>
          <w:color w:val="000000"/>
        </w:rPr>
        <w:t>S2 Which company do you use most, and how long have you used it?</w:t>
      </w:r>
    </w:p>
    <w:p>
      <w:pPr>
        <w:keepNext/>
      </w:pPr>
      <w:r>
        <w:t>Response: Single response and numeric. Ask: current customers.</w:t>
      </w:r>
    </w:p>
    <w:p>
      <w:r>
        <w:t>Codes and programming: company codes above; tenure_months. This is a main-provider customer sample, not a brand-awareness sample.</w:t>
      </w:r>
    </w:p>
    <w:p>
      <w:pPr>
        <w:pStyle w:val="Heading1"/>
      </w:pPr>
      <w:r>
        <w:rPr>
          <w:color w:val="000000"/>
        </w:rPr>
        <w:t>Channel screen and most recent interaction</w:t>
      </w:r>
    </w:p>
    <w:p>
      <w:pPr>
        <w:pStyle w:val="Heading2"/>
      </w:pPr>
      <w:r>
        <w:rPr>
          <w:color w:val="000000"/>
        </w:rPr>
        <w:t>CH1 Which channels have you used with [COMPANY] in the past 30 days?</w:t>
      </w:r>
    </w:p>
    <w:p>
      <w:pPr>
        <w:keepNext/>
      </w:pPr>
      <w:r>
        <w:t>Response: Multiple response. Ask: all.</w:t>
      </w:r>
    </w:p>
    <w:p>
      <w:r>
        <w:t>Codes and programming: channel_used_c01–c04: Call centre; Retail store; Digital self service; Messaging or live chat. None exclusive. Digital includes app or website self service, not a staff-assisted chat. A messaging interaction is separate from general social-media use.</w:t>
      </w:r>
    </w:p>
    <w:p>
      <w:pPr>
        <w:pStyle w:val="Heading2"/>
      </w:pPr>
      <w:r>
        <w:rPr>
          <w:color w:val="000000"/>
        </w:rPr>
        <w:t>CH2 How many interactions have you had through each selected channel?</w:t>
      </w:r>
    </w:p>
    <w:p>
      <w:pPr>
        <w:keepNext/>
      </w:pPr>
      <w:r>
        <w:t>Response: Numeric counts. Ask: channel selected.</w:t>
      </w:r>
    </w:p>
    <w:p>
      <w:r>
        <w:t>Codes and programming: channel_contacts_cXX &gt;=1, other channels 0. These are recalled interaction counts. The event file stores only the most recent in each channel, not every contact.</w:t>
      </w:r>
    </w:p>
    <w:p>
      <w:r>
        <w:t>Repeat E1–E9 including E8a–E8e and Q1–Q6 for each used channel. No row exists for an unused channel. CH1–CH2 are stored in Relationship files. For linked interviews, carry forward S1–S2 and D1–D4. Weight and segment are processing fields.</w:t>
      </w:r>
    </w:p>
    <w:p>
      <w:pPr>
        <w:pStyle w:val="Heading2"/>
      </w:pPr>
      <w:r>
        <w:rPr>
          <w:color w:val="000000"/>
        </w:rPr>
        <w:t>E1 On what date did this interaction happen, and what did you need to do?</w:t>
      </w:r>
    </w:p>
    <w:p>
      <w:pPr>
        <w:keepNext/>
      </w:pPr>
      <w:r>
        <w:t>Response: Date and reasons. Ask: each selected channel.</w:t>
      </w:r>
    </w:p>
    <w:p>
      <w:r>
        <w:t>Codes and programming: contact_date, days_ago 0–30. primary_reason 1–6; reasons_r01–r06 MR: Recharge or bundle purchase; Billing or account information; SIM contract or package change; Network service or billing problem; Device or technical support; Other. Primary reason must be selected in the MR set. Reasons outside the primary reason may also apply.</w:t>
      </w:r>
    </w:p>
    <w:p>
      <w:pPr>
        <w:pStyle w:val="Heading2"/>
      </w:pPr>
      <w:r>
        <w:rPr>
          <w:color w:val="000000"/>
        </w:rPr>
        <w:t>E2 Was this self service on an app or website, or did you speak or exchange messages with a staff member?</w:t>
      </w:r>
    </w:p>
    <w:p>
      <w:pPr>
        <w:keepNext/>
      </w:pPr>
      <w:r>
        <w:t>Response: Single response and yes/no. Ask: each record.</w:t>
      </w:r>
    </w:p>
    <w:p>
      <w:r>
        <w:t>Codes and programming: digital_mode 1 App / 2 Website only for channel 3. staff_contact 0/1. All channels 1,2,4 have staff contact in this fixture; channel 3 is self service.</w:t>
      </w:r>
    </w:p>
    <w:p>
      <w:pPr>
        <w:pStyle w:val="Heading2"/>
      </w:pPr>
      <w:r>
        <w:rPr>
          <w:color w:val="000000"/>
        </w:rPr>
        <w:t>E3 Overall, how satisfied were you with this particular experience?</w:t>
      </w:r>
    </w:p>
    <w:p>
      <w:pPr>
        <w:keepNext/>
      </w:pPr>
      <w:r>
        <w:t>Response: Five-point satisfaction. Ask: each record.</w:t>
      </w:r>
    </w:p>
    <w:p>
      <w:r>
        <w:t>Codes and programming: channel_csat5: 1 Very dissatisfied; 2 Dissatisfied; 3 Neither satisfied nor dissatisfied; 4 Satisfied; 5 Very satisfied; 99 Do not know. Top two box is 4–5, top box is 5, bottom two box is 1–2. Exclude 99 from valid satisfaction bases.</w:t>
      </w:r>
    </w:p>
    <w:p>
      <w:pPr>
        <w:pStyle w:val="Heading2"/>
      </w:pPr>
      <w:r>
        <w:rPr>
          <w:color w:val="000000"/>
        </w:rPr>
        <w:t>E4 How easy or difficult was it to get what you needed?</w:t>
      </w:r>
    </w:p>
    <w:p>
      <w:pPr>
        <w:keepNext/>
      </w:pPr>
      <w:r>
        <w:t>Response: Seven-point ease. Ask: each record.</w:t>
      </w:r>
    </w:p>
    <w:p>
      <w:r>
        <w:t>Codes and programming: ease7: 1 Very difficult; 2 Difficult; 3 Somewhat difficult; 4 Neither; 5 Somewhat easy; 6 Easy; 7 Very easy; 99 Do not know. Higher means easier. Report mean or %6–7, not five-point CSAT.</w:t>
      </w:r>
    </w:p>
    <w:p>
      <w:pPr>
        <w:pStyle w:val="Heading2"/>
      </w:pPr>
      <w:r>
        <w:rPr>
          <w:color w:val="000000"/>
        </w:rPr>
        <w:t>E5 Did you complete your task? Was there a problem to resolve?</w:t>
      </w:r>
    </w:p>
    <w:p>
      <w:pPr>
        <w:keepNext/>
      </w:pPr>
      <w:r>
        <w:t>Response: Single response plus yes/no. Ask: each record.</w:t>
      </w:r>
    </w:p>
    <w:p>
      <w:r>
        <w:t>Codes and programming: task_completed: 1 Yes; 0 No; 9 Pending. problem_present 0/1. If problem present, problem_resolution: 1 Fully; 2 Partly; 3 Unresolved; 9 Pending. Blank if no problem.</w:t>
      </w:r>
    </w:p>
    <w:p>
      <w:pPr>
        <w:pStyle w:val="Heading2"/>
      </w:pPr>
      <w:r>
        <w:rPr>
          <w:color w:val="000000"/>
        </w:rPr>
        <w:t>E6 Including this interaction, how many contacts across any channels have you made about this same need?</w:t>
      </w:r>
    </w:p>
    <w:p>
      <w:pPr>
        <w:keepNext/>
      </w:pPr>
      <w:r>
        <w:t>Response: Numeric. Ask: each record.</w:t>
      </w:r>
    </w:p>
    <w:p>
      <w:r>
        <w:t>Codes and programming: contacts_same_need &gt;=1. first_contact_resolution=1 only if problem_present=1, fully resolved, and one contact. 0 for other known outcomes among problem cases. Blank for no problem or still pending.</w:t>
      </w:r>
    </w:p>
    <w:p>
      <w:pPr>
        <w:pStyle w:val="Heading2"/>
      </w:pPr>
      <w:r>
        <w:rPr>
          <w:color w:val="000000"/>
        </w:rPr>
        <w:t>E7 Why did you give that channel rating?</w:t>
      </w:r>
    </w:p>
    <w:p>
      <w:pPr>
        <w:keepNext/>
      </w:pPr>
      <w:r>
        <w:t>Response: Open text. Ask: each record.</w:t>
      </w:r>
    </w:p>
    <w:p>
      <w:r>
        <w:t>Codes and programming: channel_reason_text. Optional interviewer clarification, not a generated factual quote.</w:t>
      </w:r>
    </w:p>
    <w:p>
      <w:pPr>
        <w:pStyle w:val="Heading2"/>
      </w:pPr>
      <w:r>
        <w:t>E8a How much did this particular channel experience leave you feeling reassured?</w:t>
      </w:r>
    </w:p>
    <w:p>
      <w:r>
        <w:t>Codes and programming: channel_reassured5. 1 Not at all; 2 A little; 3 Moderately; 4 Very; 5 Extremely; 99 Do not know. Ask every experience row. Mixed emotions are allowed.</w:t>
      </w:r>
    </w:p>
    <w:p>
      <w:pPr>
        <w:pStyle w:val="Heading2"/>
      </w:pPr>
      <w:r>
        <w:t>E8b How much did this particular channel experience leave you feeling valued?</w:t>
      </w:r>
    </w:p>
    <w:p>
      <w:r>
        <w:t>Codes and programming: channel_valued5. 1 Not at all; 2 A little; 3 Moderately; 4 Very; 5 Extremely; 99 Do not know. Ask every experience row. Mixed emotions are allowed.</w:t>
      </w:r>
    </w:p>
    <w:p>
      <w:pPr>
        <w:pStyle w:val="Heading2"/>
      </w:pPr>
      <w:r>
        <w:t>E8c How much did this particular channel experience leave you feeling frustrated?</w:t>
      </w:r>
    </w:p>
    <w:p>
      <w:r>
        <w:t>Codes and programming: channel_frustrated5. 1 Not at all; 2 A little; 3 Moderately; 4 Very; 5 Extremely; 99 Do not know. Ask every experience row. Mixed emotions are allowed.</w:t>
      </w:r>
    </w:p>
    <w:p>
      <w:pPr>
        <w:pStyle w:val="Heading2"/>
      </w:pPr>
      <w:r>
        <w:t>E8d How much did this particular channel experience leave you feeling anxious?</w:t>
      </w:r>
    </w:p>
    <w:p>
      <w:r>
        <w:t>Codes and programming: channel_anxious5. 1 Not at all; 2 A little; 3 Moderately; 4 Very; 5 Extremely; 99 Do not know. Ask every experience row. Mixed emotions are allowed.</w:t>
      </w:r>
    </w:p>
    <w:p>
      <w:pPr>
        <w:pStyle w:val="Heading2"/>
      </w:pPr>
      <w:r>
        <w:t>E8e What about this channel experience made you feel that way?</w:t>
      </w:r>
    </w:p>
    <w:p>
      <w:r>
        <w:t>Codes and programming: channel_emotion_why_text, open text without identifiers. Ask every experience row. Do not assume it describes the whole journey. Supplied examples are synthetic.</w:t>
      </w:r>
    </w:p>
    <w:p>
      <w:pPr>
        <w:pStyle w:val="Heading2"/>
        <w:keepNext/>
      </w:pPr>
      <w:r>
        <w:rPr>
          <w:color w:val="000000"/>
        </w:rPr>
        <w:t>E9 Does this particular channel experience give you a reason to choose [COMPANY] over another provider?</w:t>
      </w:r>
    </w:p>
    <w:p>
      <w:pPr>
        <w:keepNext/>
      </w:pPr>
      <w:r>
        <w:t>Ask: each existing latest-channel experience row after E8.</w:t>
      </w:r>
    </w:p>
    <w:p>
      <w:pPr/>
      <w:r>
        <w:t>Codes and programming: channel_preference5. 1 Strongly disagree; 2 Disagree; 3 Neither agree nor disagree; 4 Agree; 5 Strongly agree; 99 Do not know. This is stated preference, not observed switching or causal uplift.</w:t>
      </w:r>
    </w:p>
    <w:p>
      <w:pPr/>
      <w:r>
        <w:t>Journey continuity is collected once in J1–J8 of the Company questionnaire. Keep its independently chosen task anchor and overall outcome at customer level. Never treat separate latest channel rows as successive steps of one journey, or duplicate a customer-level journey outcome across channel rows when calculating bases.</w:t>
      </w:r>
    </w:p>
    <w:p>
      <w:pPr>
        <w:pStyle w:val="Heading1"/>
      </w:pPr>
      <w:r>
        <w:rPr>
          <w:color w:val="000000"/>
        </w:rPr>
        <w:t>Channel service quality and process audit</w:t>
      </w:r>
    </w:p>
    <w:p>
      <w:pPr>
        <w:pStyle w:val="Heading2"/>
      </w:pPr>
      <w:r>
        <w:rPr>
          <w:color w:val="000000"/>
        </w:rPr>
        <w:t>Q1 How would you rate this channel on each applicable aspect?</w:t>
      </w:r>
    </w:p>
    <w:p>
      <w:pPr>
        <w:keepNext/>
      </w:pPr>
      <w:r>
        <w:t>Response: Performance grid. Ask: each record.</w:t>
      </w:r>
    </w:p>
    <w:p>
      <w:r>
        <w:t>Codes and programming: driver_* fields use 1 Very poor to 5 Excellent; 98 Not applicable; 99 Do not know. Staff-only items blank for self service, not zero.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Dimension</w:t>
            </w:r>
          </w:p>
        </w:tc>
        <w:tc>
          <w:tcPr>
            <w:tcW w:type="dxa" w:w="5040"/>
          </w:tcPr>
          <w:p>
            <w:pPr>
              <w:spacing w:after="60"/>
            </w:pPr>
            <w:r>
              <w:rPr>
                <w:sz w:val="18"/>
              </w:rPr>
              <w:t>Aspects and route</w:t>
            </w:r>
          </w:p>
        </w:tc>
      </w:tr>
      <w:tr>
        <w:tc>
          <w:tcPr>
            <w:tcW w:type="dxa" w:w="5040"/>
          </w:tcPr>
          <w:p>
            <w:pPr>
              <w:spacing w:after="60"/>
            </w:pPr>
            <w:r>
              <w:rPr>
                <w:sz w:val="18"/>
              </w:rPr>
              <w:t>Reliability</w:t>
            </w:r>
          </w:p>
        </w:tc>
        <w:tc>
          <w:tcPr>
            <w:tcW w:type="dxa" w:w="5040"/>
          </w:tcPr>
          <w:p>
            <w:pPr>
              <w:spacing w:after="60"/>
            </w:pPr>
            <w:r>
              <w:rPr>
                <w:sz w:val="18"/>
              </w:rPr>
              <w:t>Accuracy of information; Correct handling of the task</w:t>
            </w:r>
          </w:p>
        </w:tc>
      </w:tr>
      <w:tr>
        <w:tc>
          <w:tcPr>
            <w:tcW w:type="dxa" w:w="5040"/>
          </w:tcPr>
          <w:p>
            <w:pPr>
              <w:spacing w:after="60"/>
            </w:pPr>
            <w:r>
              <w:rPr>
                <w:sz w:val="18"/>
              </w:rPr>
              <w:t>Responsiveness</w:t>
            </w:r>
          </w:p>
        </w:tc>
        <w:tc>
          <w:tcPr>
            <w:tcW w:type="dxa" w:w="5040"/>
          </w:tcPr>
          <w:p>
            <w:pPr>
              <w:spacing w:after="60"/>
            </w:pPr>
            <w:r>
              <w:rPr>
                <w:sz w:val="18"/>
              </w:rPr>
              <w:t>Speed of response; Kept informed about progress</w:t>
            </w:r>
          </w:p>
        </w:tc>
      </w:tr>
      <w:tr>
        <w:tc>
          <w:tcPr>
            <w:tcW w:type="dxa" w:w="5040"/>
          </w:tcPr>
          <w:p>
            <w:pPr>
              <w:spacing w:after="60"/>
            </w:pPr>
            <w:r>
              <w:rPr>
                <w:sz w:val="18"/>
              </w:rPr>
              <w:t>Assurance</w:t>
            </w:r>
          </w:p>
        </w:tc>
        <w:tc>
          <w:tcPr>
            <w:tcW w:type="dxa" w:w="5040"/>
          </w:tcPr>
          <w:p>
            <w:pPr>
              <w:spacing w:after="60"/>
            </w:pPr>
            <w:r>
              <w:rPr>
                <w:sz w:val="18"/>
              </w:rPr>
              <w:t>Staff knowledge and competence; Confidence in safe handling | Staff contact only for empathy; staff knowledge only for assurance</w:t>
            </w:r>
          </w:p>
        </w:tc>
      </w:tr>
      <w:tr>
        <w:tc>
          <w:tcPr>
            <w:tcW w:type="dxa" w:w="5040"/>
          </w:tcPr>
          <w:p>
            <w:pPr>
              <w:spacing w:after="60"/>
            </w:pPr>
            <w:r>
              <w:rPr>
                <w:sz w:val="18"/>
              </w:rPr>
              <w:t>Empathy</w:t>
            </w:r>
          </w:p>
        </w:tc>
        <w:tc>
          <w:tcPr>
            <w:tcW w:type="dxa" w:w="5040"/>
          </w:tcPr>
          <w:p>
            <w:pPr>
              <w:spacing w:after="60"/>
            </w:pPr>
            <w:r>
              <w:rPr>
                <w:sz w:val="18"/>
              </w:rPr>
              <w:t>Understanding of my needs; Respectful treatment | Staff contact only for empathy; staff knowledge only for assurance</w:t>
            </w:r>
          </w:p>
        </w:tc>
      </w:tr>
      <w:tr>
        <w:tc>
          <w:tcPr>
            <w:tcW w:type="dxa" w:w="5040"/>
          </w:tcPr>
          <w:p>
            <w:pPr>
              <w:spacing w:after="60"/>
            </w:pPr>
            <w:r>
              <w:rPr>
                <w:sz w:val="18"/>
              </w:rPr>
              <w:t>Access and clarity</w:t>
            </w:r>
          </w:p>
        </w:tc>
        <w:tc>
          <w:tcPr>
            <w:tcW w:type="dxa" w:w="5040"/>
          </w:tcPr>
          <w:p>
            <w:pPr>
              <w:spacing w:after="60"/>
            </w:pPr>
            <w:r>
              <w:rPr>
                <w:sz w:val="18"/>
              </w:rPr>
              <w:t>Ease of accessing the channel; Clarity of communication or interface</w:t>
            </w:r>
          </w:p>
        </w:tc>
      </w:tr>
    </w:tbl>
    <w:p>
      <w:r>
        <w:t>These are original performance-only service-quality items informed by SERVQUAL concepts. They are NOT the licensed or original 22-item paired expectations–perceptions SERVQUAL instrument. Access and clarity is a channel-adapted fifth domain, not a validated replacement for physical tangibles. Dimension means require both items valid. Do not average unavailable empathy/assurance into a digital score.</w:t>
      </w:r>
    </w:p>
    <w:p>
      <w:pPr>
        <w:pStyle w:val="Heading2"/>
      </w:pPr>
      <w:r>
        <w:rPr>
          <w:color w:val="000000"/>
        </w:rPr>
        <w:t>Q2 How long did you wait, and how long did the interaction take?</w:t>
      </w:r>
    </w:p>
    <w:p>
      <w:pPr>
        <w:keepNext/>
      </w:pPr>
      <w:r>
        <w:t>Response: Numeric. Ask: each record.</w:t>
      </w:r>
    </w:p>
    <w:p>
      <w:r>
        <w:t>Codes and programming: wait_minutes for staff channels only; handling_minutes all channels; digital_response_seconds for digital self service only. These are different units, not interchangeable. Zero wait is valid.</w:t>
      </w:r>
    </w:p>
    <w:p>
      <w:pPr>
        <w:pStyle w:val="Heading2"/>
      </w:pPr>
      <w:r>
        <w:rPr>
          <w:color w:val="000000"/>
        </w:rPr>
        <w:t>Q3 Were you transferred, placed on hold, or promised a callback?</w:t>
      </w:r>
    </w:p>
    <w:p>
      <w:pPr>
        <w:keepNext/>
      </w:pPr>
      <w:r>
        <w:t>Response: Conditional call-centre audit. Ask: channel 1 only.</w:t>
      </w:r>
    </w:p>
    <w:p>
      <w:r>
        <w:t>Codes and programming: transferred 0/1; number_transfers 1–3 only if transferred. put_on_hold 0/1. callback_promised 0/1; callback_outcome: 1 On time; 2 Late; 3 Not received; 9 Not yet due, only if promised. Exclude not-yet-due from a kept-callback denominator.</w:t>
      </w:r>
    </w:p>
    <w:p>
      <w:pPr>
        <w:pStyle w:val="Heading2"/>
      </w:pPr>
      <w:r>
        <w:rPr>
          <w:color w:val="000000"/>
        </w:rPr>
        <w:t>Q4 Did you use a recorded or interactive voice menu, and how satisfied were you with it?</w:t>
      </w:r>
    </w:p>
    <w:p>
      <w:pPr>
        <w:keepNext/>
      </w:pPr>
      <w:r>
        <w:t>Response: Yes/no plus satisfaction. Ask: channel 1 only.</w:t>
      </w:r>
    </w:p>
    <w:p>
      <w:r>
        <w:t>Codes and programming: used_ivr 0/1. Ask ivr_csat5 only if used: 1 Very dissatisfied; 2 Dissatisfied; 3 Neither satisfied nor dissatisfied; 4 Satisfied; 5 Very satisfied; 99 Do not know. Ask ivr_clarity5 among IVR users using the Q1 performance anchors.</w:t>
      </w:r>
    </w:p>
    <w:p>
      <w:pPr>
        <w:pStyle w:val="Heading2"/>
      </w:pPr>
      <w:r>
        <w:rPr>
          <w:color w:val="000000"/>
        </w:rPr>
        <w:t>Q5 Did the member of staff introduce themselves, treat you politely and assist in your preferred language?</w:t>
      </w:r>
    </w:p>
    <w:p>
      <w:pPr>
        <w:keepNext/>
      </w:pPr>
      <w:r>
        <w:t>Response: Three yes/no items. Ask: staff_contact=1.</w:t>
      </w:r>
    </w:p>
    <w:p>
      <w:r>
        <w:t>Codes and programming: agent_introduced, agent_polite, preferred_language_assisted 0/1. Blank for self service. These factual self-reports are separate from quality ratings.</w:t>
      </w:r>
    </w:p>
    <w:p>
      <w:pPr>
        <w:pStyle w:val="Heading2"/>
      </w:pPr>
      <w:r>
        <w:rPr>
          <w:color w:val="000000"/>
        </w:rPr>
        <w:t>Q6 How would you rate the physical facilities and accessibility?</w:t>
      </w:r>
    </w:p>
    <w:p>
      <w:pPr>
        <w:keepNext/>
      </w:pPr>
      <w:r>
        <w:t>Response: Two performance items. Ask: channel 2 only.</w:t>
      </w:r>
    </w:p>
    <w:p>
      <w:r>
        <w:t>Codes and programming: branch_tidy5 and branch_accessible5 use performance anchors. No physical-facility ratings for a call or app.</w:t>
      </w:r>
    </w:p>
    <w:p>
      <w:pPr>
        <w:pStyle w:val="Heading1"/>
      </w:pPr>
      <w:r>
        <w:rPr>
          <w:color w:val="000000"/>
        </w:rPr>
        <w:t>Demographics and safeguards</w:t>
      </w:r>
    </w:p>
    <w:p>
      <w:pPr>
        <w:pStyle w:val="Heading2"/>
      </w:pPr>
      <w:r>
        <w:rPr>
          <w:color w:val="000000"/>
        </w:rPr>
        <w:t>D1 How do you describe your gender?</w:t>
      </w:r>
    </w:p>
    <w:p>
      <w:pPr>
        <w:keepNext/>
      </w:pPr>
      <w:r>
        <w:t>Response: Single response. Ask: all.</w:t>
      </w:r>
    </w:p>
    <w:p>
      <w:r>
        <w:t>Codes and programming: 1 Man; 2 Woman; 3 Another identity; 4 Prefer not to say.</w:t>
      </w:r>
    </w:p>
    <w:p>
      <w:pPr>
        <w:pStyle w:val="Heading2"/>
      </w:pPr>
      <w:r>
        <w:rPr>
          <w:color w:val="000000"/>
        </w:rPr>
        <w:t>D2 Which province do you live in?</w:t>
      </w:r>
    </w:p>
    <w:p>
      <w:pPr>
        <w:keepNext/>
      </w:pPr>
      <w:r>
        <w:t>Response: Single response. Ask: all.</w:t>
      </w:r>
    </w:p>
    <w:p>
      <w:r>
        <w:t>Codes and programming: 1 Gauteng; 2 KwaZulu-Natal; 3 Western Cape; 4 Eastern Cape; 5 Limpopo; 6 Mpumalanga; 7 North West; 8 Free State; 9 Northern Cape.</w:t>
      </w:r>
    </w:p>
    <w:p>
      <w:pPr>
        <w:pStyle w:val="Heading2"/>
      </w:pPr>
      <w:r>
        <w:rPr>
          <w:color w:val="000000"/>
        </w:rPr>
        <w:t>D3 What is your monthly household income before tax?</w:t>
      </w:r>
    </w:p>
    <w:p>
      <w:pPr>
        <w:keepNext/>
      </w:pPr>
      <w:r>
        <w:t>Response: Single response. Ask: all.</w:t>
      </w:r>
    </w:p>
    <w:p>
      <w:r>
        <w:t>Codes and programming: 1 Below R15,000; 2 R15,000–R29,999; 3 R30,000–R49,999; 4 R50,000–R79,999; 5 R80,000 or more; 99 Prefer not to say.</w:t>
      </w:r>
    </w:p>
    <w:p>
      <w:pPr>
        <w:pStyle w:val="Heading2"/>
      </w:pPr>
      <w:r>
        <w:rPr>
          <w:color w:val="000000"/>
        </w:rPr>
        <w:t>D4 Which best describes where you live?</w:t>
      </w:r>
    </w:p>
    <w:p>
      <w:pPr>
        <w:keepNext/>
      </w:pPr>
      <w:r>
        <w:t>Response: Single response. Ask: all.</w:t>
      </w:r>
    </w:p>
    <w:p>
      <w:r>
        <w:t>Codes and programming: 1 Metro or city; 2 Town; 3 Rural area. Segment is a separate synthetic demonstration segment, not a validated socioeconomic or life-stage classification.</w:t>
      </w:r>
    </w:p>
    <w:p>
      <w:r>
        <w:t>Use anonymous IDs. Do not collect names, account numbers or telephone numbers in these fixtures. Multiple channel rows can belong to the same customer. Never count them as independent customers for overall company measures. Preserve structural skips and scale direction across waves. The three waves use independent customers, not a longitudinal panel.</w:t>
      </w:r>
    </w:p>
    <w:p>
      <w:pPr>
        <w:pStyle w:val="Heading1"/>
      </w:pPr>
      <w:r>
        <w:rPr>
          <w:color w:val="000000"/>
        </w:rPr>
        <w:t>References</w:t>
      </w:r>
    </w:p>
    <w:p>
      <w:pPr>
        <w:ind w:left="360" w:hanging="360"/>
      </w:pPr>
      <w:r>
        <w:t xml:space="preserve">American Customer Satisfaction Index. (n.d.). </w:t>
      </w:r>
      <w:r>
        <w:rPr>
          <w:i/>
        </w:rPr>
        <w:t>The science of customer satisfaction.</w:t>
      </w:r>
      <w:r>
        <w:t xml:space="preserve">  https://theacsi.com/company/the-science-of-customer-satisfaction/</w:t>
      </w:r>
    </w:p>
    <w:p>
      <w:pPr>
        <w:ind w:left="360" w:hanging="360"/>
      </w:pPr>
      <w:r>
        <w:t xml:space="preserve">Qualtrics. (2024, February 27). </w:t>
      </w:r>
      <w:r>
        <w:rPr>
          <w:i/>
        </w:rPr>
        <w:t>Customer experience metrics How to measure CX.</w:t>
      </w:r>
      <w:r>
        <w:t xml:space="preserve">  https://www.qualtrics.com/en-au/articles/customer-experience/customer-experience-measurement-metrics/</w:t>
      </w:r>
    </w:p>
    <w:p>
      <w:pPr>
        <w:ind w:left="360" w:hanging="360"/>
      </w:pPr>
      <w:r>
        <w:t xml:space="preserve">Parasuraman, A., Zeithaml, V. A., &amp; Berry, L. L. (1988). </w:t>
      </w:r>
      <w:r>
        <w:rPr>
          <w:i/>
        </w:rPr>
        <w:t>SERVQUAL A multiple-item scale for measuring consumer perceptions of service quality.</w:t>
      </w:r>
      <w:r>
        <w:t xml:space="preserve"> Journal of Retailing, 64(1), 12–40. Accessible repository copy. https://zenodo.org/records/14579730</w:t>
      </w:r>
    </w:p>
    <w:p>
      <w:pPr>
        <w:ind w:left="360" w:hanging="360"/>
      </w:pPr>
      <w:r>
        <w:t xml:space="preserve">Bain &amp; Company. (n.d.). </w:t>
      </w:r>
      <w:r>
        <w:rPr>
          <w:i/>
        </w:rPr>
        <w:t>Measuring your Net Promoter Score.</w:t>
      </w:r>
      <w:r>
        <w:t xml:space="preserve">  https://www.netpromotersystem.com/about/measuring-your-net-promoter-score/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Customer satisfaction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