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South African mobile telecoms CSM dashboard specification</w:t>
      </w:r>
    </w:p>
    <w:p>
      <w:r>
        <w:t>Separate company and channel views | Metric definitions and import rules</w:t>
      </w:r>
    </w:p>
    <w:p>
      <w:r>
        <w:t>The dashboard needs two views with different grains. Company relationship measures use distinct customers. Channel measures use most recent experiences among channel users in 30 days. Do not show channel-user satisfaction as the overall company score, and do not join records then average duplicated company ratings.</w:t>
      </w:r>
    </w:p>
    <w:p>
      <w:pPr>
        <w:pStyle w:val="Heading1"/>
      </w:pPr>
      <w:r>
        <w:rPr>
          <w:color w:val="000000"/>
        </w:rPr>
        <w:t>Files and selection</w:t>
      </w:r>
    </w:p>
    <w:p>
      <w:r>
        <w:t>Three Mobile_CSM_Relationship_Wave_N workbooks contain 1,000 customers each. Three Mobile_CSM_Channel_Wave_N workbooks contain the linked recent experiences. Select Respondents or Experiences respectively as authoritative data sheets. Codebook, Labels and MR sets accompany each. Use a composite wave/respondent key for joins even though supplied IDs are globally unique. Never join on row position, name or a numeric conversion of the ID.</w:t>
      </w:r>
    </w:p>
    <w:p>
      <w:pPr>
        <w:pStyle w:val="Heading1"/>
      </w:pPr>
      <w:r>
        <w:rPr>
          <w:color w:val="000000"/>
        </w:rPr>
        <w:t>Recommended dashboard navigation</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View</w:t>
            </w:r>
          </w:p>
        </w:tc>
        <w:tc>
          <w:tcPr>
            <w:tcW w:type="dxa" w:w="5040"/>
          </w:tcPr>
          <w:p>
            <w:pPr>
              <w:spacing w:after="60"/>
            </w:pPr>
            <w:r>
              <w:rPr>
                <w:sz w:val="18"/>
              </w:rPr>
              <w:t>Charts and measures</w:t>
            </w:r>
          </w:p>
        </w:tc>
      </w:tr>
      <w:tr>
        <w:tc>
          <w:tcPr>
            <w:tcW w:type="dxa" w:w="5040"/>
          </w:tcPr>
          <w:p>
            <w:pPr>
              <w:spacing w:after="60"/>
            </w:pPr>
            <w:r>
              <w:rPr>
                <w:sz w:val="18"/>
              </w:rPr>
              <w:t>Company overview</w:t>
            </w:r>
          </w:p>
        </w:tc>
        <w:tc>
          <w:tcPr>
            <w:tcW w:type="dxa" w:w="5040"/>
          </w:tcPr>
          <w:p>
            <w:pPr>
              <w:spacing w:after="60"/>
            </w:pPr>
            <w:r>
              <w:rPr>
                <w:sz w:val="18"/>
              </w:rPr>
              <w:t>CSAT top two/top/bottom two, mean and full distribution; NPS; continue intention; switching risk; complaints</w:t>
            </w:r>
          </w:p>
        </w:tc>
      </w:tr>
      <w:tr>
        <w:tc>
          <w:tcPr>
            <w:tcW w:type="dxa" w:w="5040"/>
          </w:tcPr>
          <w:p>
            <w:pPr>
              <w:spacing w:after="60"/>
            </w:pPr>
            <w:r>
              <w:rPr>
                <w:sz w:val="18"/>
              </w:rPr>
              <w:t>Relationship detail</w:t>
            </w:r>
          </w:p>
        </w:tc>
        <w:tc>
          <w:tcPr>
            <w:tcW w:type="dxa" w:w="5040"/>
          </w:tcPr>
          <w:p>
            <w:pPr>
              <w:spacing w:after="60"/>
            </w:pPr>
            <w:r>
              <w:rPr>
                <w:sz w:val="18"/>
              </w:rPr>
              <w:t>Company driver performance and stated importance; trust/fairness; verbatim reasons; demographics; product and tenure</w:t>
            </w:r>
          </w:p>
        </w:tc>
      </w:tr>
      <w:tr>
        <w:tc>
          <w:tcPr>
            <w:tcW w:type="dxa" w:w="5040"/>
          </w:tcPr>
          <w:p>
            <w:pPr>
              <w:spacing w:after="60"/>
            </w:pPr>
            <w:r>
              <w:rPr>
                <w:sz w:val="18"/>
              </w:rPr>
              <w:t>Channel overview</w:t>
            </w:r>
          </w:p>
        </w:tc>
        <w:tc>
          <w:tcPr>
            <w:tcW w:type="dxa" w:w="5040"/>
          </w:tcPr>
          <w:p>
            <w:pPr>
              <w:spacing w:after="60"/>
            </w:pPr>
            <w:r>
              <w:rPr>
                <w:sz w:val="18"/>
              </w:rPr>
              <w:t>User reach and recalled contacts; latest-experience CSAT and ease by channel; task completion; FCR and repeat contact</w:t>
            </w:r>
          </w:p>
        </w:tc>
      </w:tr>
      <w:tr>
        <w:tc>
          <w:tcPr>
            <w:tcW w:type="dxa" w:w="5040"/>
          </w:tcPr>
          <w:p>
            <w:pPr>
              <w:spacing w:after="60"/>
            </w:pPr>
            <w:r>
              <w:rPr>
                <w:sz w:val="18"/>
              </w:rPr>
              <w:t>Channel detail</w:t>
            </w:r>
          </w:p>
        </w:tc>
        <w:tc>
          <w:tcPr>
            <w:tcW w:type="dxa" w:w="5040"/>
          </w:tcPr>
          <w:p>
            <w:r>
              <w:t>Performance domains and item bases; reason mix; waiting/handling; IVR; transfers/hold/callback; retail store facilities</w:t>
            </w:r>
          </w:p>
        </w:tc>
      </w:tr>
      <w:tr>
        <w:tc>
          <w:tcPr>
            <w:tcW w:type="dxa" w:w="5040"/>
          </w:tcPr>
          <w:p>
            <w:pPr>
              <w:spacing w:after="60"/>
            </w:pPr>
            <w:r>
              <w:rPr>
                <w:sz w:val="18"/>
              </w:rPr>
              <w:t>Loyalty and recovery</w:t>
            </w:r>
          </w:p>
        </w:tc>
        <w:tc>
          <w:tcPr>
            <w:tcW w:type="dxa" w:w="5040"/>
          </w:tcPr>
          <w:p>
            <w:pPr>
              <w:spacing w:after="60"/>
            </w:pPr>
            <w:r>
              <w:rPr>
                <w:sz w:val="18"/>
              </w:rPr>
              <w:t>Satisfaction versus switching-intention grid; complaint handling and outcomes; differences by problem status</w:t>
            </w:r>
          </w:p>
        </w:tc>
      </w:tr>
      <w:tr>
        <w:tc>
          <w:tcPr>
            <w:tcW w:type="dxa" w:w="5040"/>
          </w:tcPr>
          <w:p>
            <w:pPr>
              <w:spacing w:after="60"/>
            </w:pPr>
            <w:r>
              <w:rPr>
                <w:sz w:val="18"/>
              </w:rPr>
              <w:t>Trends and priorities</w:t>
            </w:r>
          </w:p>
        </w:tc>
        <w:tc>
          <w:tcPr>
            <w:tcW w:type="dxa" w:w="5040"/>
          </w:tcPr>
          <w:p>
            <w:pPr>
              <w:spacing w:after="60"/>
            </w:pPr>
            <w:r>
              <w:rPr>
                <w:sz w:val="18"/>
              </w:rPr>
              <w:t>Like-for-like wave charts with bases, point changes and explicitly descriptive priorities</w:t>
            </w:r>
          </w:p>
        </w:tc>
      </w:tr>
    </w:tbl>
    <w:p>
      <w:r>
        <w:t>Filters: sector, wave, company, age, gender, province, income, segment, product and tenure. In channel view also channel, digital mode, reason, problem status and staff contact. A company-score filter based on channel use is permitted only when labelled “customers who used [channel]”; it changes the company-score population. Retain distinct customer counts. Show full bases in tooltips and exports.</w:t>
      </w:r>
    </w:p>
    <w:p>
      <w:pPr>
        <w:pStyle w:val="Heading1"/>
      </w:pPr>
      <w:r>
        <w:rPr>
          <w:color w:val="000000"/>
        </w:rPr>
        <w:t>Top boxes and valid bases</w:t>
      </w:r>
    </w:p>
    <w:p>
      <w:r>
        <w:t>For five-point satisfaction, T2B=weighted ratings 4–5 / all valid 1–5 ×100; top box=5; bottom two=1–2. 99 is excluded, with nonresponse count disclosed. Full distribution must total 100% over valid ratings. A performance grid top two means Good/Excellent, not Satisfied. Never combine these scales merely because they use codes 1–5.</w:t>
      </w:r>
    </w:p>
    <w:p>
      <w:r>
        <w:br w:type="page"/>
      </w:r>
    </w:p>
    <w:p>
      <w:pPr>
        <w:pStyle w:val="Heading1"/>
      </w:pPr>
      <w:r>
        <w:rPr>
          <w:color w:val="000000"/>
        </w:rPr>
        <w:t>Loyalty resolution and ease</w:t>
      </w:r>
    </w:p>
    <w:p>
      <w:r>
        <w:t>NPS=%9–10 minus %0–6 on the 0–10 recommendation item. Keep passives 7–8 in the denominator. It is a score from −100 to 100, not a percentage satisfied. Continue intention top two uses 4–5. Switching risk uses raw 8–10, where higher is worse; the cut-off is declared for this demonstration. A high CSAT score and a high switching score are different signs. Intentions do not establish actual retention, churn or lifetime value.</w:t>
      </w:r>
    </w:p>
    <w:p>
      <w:r>
        <w:t>Ease has seven response categories with higher=easier. Use mean1–7 or %6–7. Do not label it five-point CSAT or compare its top-two percentage with CSAT as if the thresholds were identical. FCR base: problem cases with known resolution 1–3; numerator fully resolved in one contact. Pending 9 is excluded and separately disclosed. Task completion base can show Yes/No/Pending rather than dropping pending and overstating success. Callback kept base excludes not-yet-due 9, not late/nonreceived outcomes.</w:t>
      </w:r>
    </w:p>
    <w:p>
      <w:pPr>
        <w:pStyle w:val="Heading1"/>
      </w:pPr>
      <w:r>
        <w:rPr>
          <w:color w:val="000000"/>
        </w:rPr>
        <w:t>Service quality domains</w:t>
      </w:r>
    </w:p>
    <w:p>
      <w:r>
        <w:t>The ten event items cover reliability, responsiveness, assurance, empathy and channel access/clarity. Means require both domain items valid. Staff knowledge and empathy are blank for self service. Therefore empathy and full assurance means are not available for purely digital experiences. Physical facilities have two store-only measures. These are performance-only adapted domains, not a validated original SERVQUAL gap score. ACSI is also not replicated: its official index uses a proprietary econometric weighting of three satisfaction questions (American Customer Satisfaction Index, n.d.).</w:t>
      </w:r>
    </w:p>
    <w:p>
      <w:pPr>
        <w:pStyle w:val="Heading1"/>
      </w:pPr>
      <w:r>
        <w:rPr>
          <w:color w:val="000000"/>
        </w:rPr>
        <w:t>Driver priorities and interpretation</w:t>
      </w:r>
    </w:p>
    <w:p>
      <w:r>
        <w:t>Start with a descriptive performance-versus-stated-importance matrix for company aspects. Any correlation, regression or relative-importance analysis must use distinct relationship customers, disclose missing-data treatment, collinearity and uncertainty, and remain associational. Channel records from one customer are dependent, and a person’s problem status and provider choice can confound comparisons. Do not label a planted simulation relationship or regression coefficient a causal improvement estimate. Use an intervention or stronger design before estimating effects of fixes.</w:t>
      </w:r>
    </w:p>
    <w:p>
      <w:pPr>
        <w:pStyle w:val="Heading1"/>
      </w:pPr>
      <w:r>
        <w:rPr>
          <w:color w:val="000000"/>
        </w:rPr>
        <w:t>Weights bases and comparison</w:t>
      </w:r>
    </w:p>
    <w:p>
      <w:r>
        <w:t>All figures describe a synthetic allocated customer sample, not network subscriber market shares. Retail MVNO brands are not independent infrastructure networks. Synthetic weights are relative bounded values normalised to sum to 1,000 among relationship records. Each event inherits its customer weight. Within one channel there is at most one record per person. Across channels, event-weighted results count one person more than once. Show event n and distinct customer n separately. Full design-based inference is not supplied. A weights-only Kish effective n does not correct repeated-person dependence or selection bias. Flag n&lt;50 and suppress inference when n&lt;30; these are declared fixture reporting rules, not universal thresholds.</w:t>
      </w:r>
    </w:p>
    <w:p>
      <w:r>
        <w:br w:type="page"/>
      </w:r>
    </w:p>
    <w:p>
      <w:pPr>
        <w:pStyle w:val="Heading1"/>
      </w:pPr>
      <w:r>
        <w:rPr>
          <w:color w:val="000000"/>
        </w:rPr>
        <w:t>Testing reference and compatibility</w:t>
      </w:r>
    </w:p>
    <w:p>
      <w:r>
        <w:t>Reference JSON and the metric workbook are optional answer keys for Codex. They identify variable, statistic, wave, company, channel, numerator, weighted base, raw base and expected value. validate_pack.py checks exported data, routes, IDs, joins and arithmetic. This is not a native app or dashboard acceptance pass. Expected stored percentages should agree within 0.000001pp; one-decimal displays within 0.05pp. Verify IDs exactly.</w:t>
      </w:r>
    </w:p>
    <w:p>
      <w:r>
        <w:t>The supplied historical workbook is already synthetic and has 97 columns, including 0–10 company/call-centre satisfaction, IVR, service drivers and loyalty items. It lacks the full multi-channel design and demographics needed here. Do not fabricate a five-point top-two-box conversion from it. Hold the new five-point instrument constant across its three waves; bridge to an old series only with a planned parallel measurement study. The attached Word template is general and must not be described as the original source of these new CSM scales.</w:t>
      </w:r>
    </w:p>
    <w:p>
      <w:pPr>
        <w:pStyle w:val="Heading1"/>
      </w:pPr>
      <w:r>
        <w:rPr>
          <w:color w:val="000000"/>
        </w:rPr>
        <w:t>Planted demonstration stories</w:t>
      </w:r>
    </w:p>
    <w:p>
      <w:r>
        <w:t>Banking: company experience generally strengthens across waves, the call-centre experience weakens in wave 2 and digital self service strengthens in wave 3. Mobile: a wave-2 service decline is followed by wave-3 recovery. Problem outcomes and repeated contact are related to channel ratings. These are simulation assumptions, not actual provider or market findings. No regulator data, client account records or collected feedback was used to generate them.</w:t>
      </w:r>
    </w:p>
    <w:p>
      <w:pPr>
        <w:pStyle w:val="Heading1"/>
        <w:keepNext/>
      </w:pPr>
      <w:r>
        <w:rPr>
          <w:color w:val="000000"/>
        </w:rPr>
        <w:t>Added journey emotion and preference views</w:t>
      </w:r>
    </w:p>
    <w:p>
      <w:pPr/>
      <w:r>
        <w:t>Retain the two original company and channel views. Add a customer-level Journey continuity view using J fields in Relationship data. Show end-to-end CSAT, task outcome including pending, multi-channel share, transfers, repeated information, ordered paths and contacts. Filter by anchored task, channel combination, digital mode, company and wave. Count one customer once. App to call centre to retail store is a path only when journey_sequence supports it; separate latest-channel records do not establish that path.</w:t>
      </w:r>
    </w:p>
    <w:p>
      <w:pPr/>
      <w:r>
        <w:t>Show reassured, valued, frustrated and anxious separately, using valid 1–5 intensity bases. Add the actual open-text reasons alongside the correct channel or journey record, clearly marked synthetic in demo mode. Keep positive and negative emotions distinct. Experience preference is agreement, not satisfaction. Show reasons for staying as a multiple-response chart plus primary reason; percentages need not sum to 100 across multiple reasons. Do not create a false forced split when respondents select preference and constraints together.</w:t>
      </w:r>
    </w:p>
    <w:p>
      <w:pPr>
        <w:pStyle w:val="Heading1"/>
        <w:keepNext/>
      </w:pPr>
      <w:r>
        <w:rPr>
          <w:color w:val="000000"/>
        </w:rPr>
        <w:t>Competitive and noncustomer context</w:t>
      </w:r>
    </w:p>
    <w:p>
      <w:pPr/>
      <w:r>
        <w:t>Import Mobile_CSM_Noncustomer_Wave_N.xlsx separately, selecting Noncustomers. There are 500 independent supplemental Vodacom noncustomers per wave, not replacements for existing customers and not a sector non-user sample. They have no current focal use, including secondary use. Focal awareness gates focal expectations and consideration. Never request or display focal CSAT, NPS, service performance or emotional experience ratings for them.</w:t>
      </w:r>
    </w:p>
    <w:p>
      <w:pPr/>
      <w:r>
        <w:t>Customer competitive comparisons use actual same-task-type alternative use within 30 days. Calculate benchmark_gap5 on the paired valid 1–5 base only; do not subtract independently filtered means. Match provider, task, period and, when making a channel comparison, channel. Display Not measured when recent use or comparability is absent. Selection, recall, task complexity and channel mix may differ; these data do not identify a causal provider effect.</w:t>
      </w:r>
    </w:p>
    <w:p>
      <w:pPr/>
      <w:r>
        <w:t>The noncustomer expectation grid repeats the six original company attributes with 1 Very poor through 5 Excellent as anticipated future performance, not observed service. Its importance grid uses the original importance anchors. Expectations for a prospective relationship have a different time referent from customers’ retrospective three-month performance. Present them as separate descriptive profiles; do not manufacture a customer expectation gap, paired change, provider ranking or causal effect. Do not pool samples to estimate prevalence or market share.</w:t>
      </w:r>
    </w:p>
    <w:p>
      <w:pPr>
        <w:pStyle w:val="Heading1"/>
        <w:keepNext/>
      </w:pPr>
      <w:r>
        <w:rPr>
          <w:color w:val="000000"/>
        </w:rPr>
        <w:t>Expanded metric definitions and handoff</w:t>
      </w:r>
    </w:p>
    <w:p>
      <w:pPr/>
      <w:r>
        <w:t>journey_completed excludes pending outcomes from its known-final-outcome base; show pending/all journeys next to it. journey_multichannel uses all valid recent journeys. Transfers and repeated information use valid 0/1 answers among recent journeys; 99 is excluded. Preference top two is agreement 4–5. Each emotion mean uses valid 1–5 responses only. benchmark_gap5 is in scale points, not percent or percentage points. New reference results retain their exact raw and weighted bases.</w:t>
      </w:r>
    </w:p>
    <w:p>
      <w:pPr/>
      <w:r>
        <w:t>Read 03_Claude_Implementation_Instructions.docx before implementing. The existing app font and layout are unchanged requirements and the only accent remains #2563eb. The optional test-reference JSON files are validation aids, never a prerequisite for normal XLSX import. All original reference statistics are retained. Validate fixture integrity, then compare actual app outputs before claiming app acceptance. No app changes were performed in this pack update.</w:t>
      </w:r>
    </w:p>
    <w:p>
      <w:pPr>
        <w:pStyle w:val="Heading1"/>
      </w:pPr>
      <w:r>
        <w:rPr>
          <w:color w:val="000000"/>
        </w:rPr>
        <w:t>References</w:t>
      </w:r>
    </w:p>
    <w:p>
      <w:pPr>
        <w:ind w:left="360" w:hanging="360"/>
      </w:pPr>
      <w:r>
        <w:t xml:space="preserve">American Customer Satisfaction Index. (n.d.). </w:t>
      </w:r>
      <w:r>
        <w:rPr>
          <w:i/>
        </w:rPr>
        <w:t>The science of customer satisfaction.</w:t>
      </w:r>
      <w:r>
        <w:t xml:space="preserve">  https://theacsi.com/company/the-science-of-customer-satisfaction/</w:t>
      </w:r>
    </w:p>
    <w:p>
      <w:pPr>
        <w:ind w:left="360" w:hanging="360"/>
      </w:pPr>
      <w:r>
        <w:t xml:space="preserve">Qualtrics. (2024, February 27). </w:t>
      </w:r>
      <w:r>
        <w:rPr>
          <w:i/>
        </w:rPr>
        <w:t>Customer experience metrics How to measure CX.</w:t>
      </w:r>
      <w:r>
        <w:t xml:space="preserve">  https://www.qualtrics.com/en-au/articles/customer-experience/customer-experience-measurement-metrics/</w:t>
      </w:r>
    </w:p>
    <w:p>
      <w:pPr>
        <w:ind w:left="360" w:hanging="360"/>
      </w:pPr>
      <w:r>
        <w:t xml:space="preserve">Parasuraman, A., Zeithaml, V. A., &amp; Berry, L. L. (1988). </w:t>
      </w:r>
      <w:r>
        <w:rPr>
          <w:i/>
        </w:rPr>
        <w:t>SERVQUAL A multiple-item scale for measuring consumer perceptions of service quality.</w:t>
      </w:r>
      <w:r>
        <w:t xml:space="preserve"> Journal of Retailing, 64(1), 12–40. Accessible repository copy. https://zenodo.org/records/14579730</w:t>
      </w:r>
    </w:p>
    <w:p>
      <w:pPr>
        <w:ind w:left="360" w:hanging="360"/>
      </w:pPr>
      <w:r>
        <w:t xml:space="preserve">Bain &amp; Company. (n.d.). </w:t>
      </w:r>
      <w:r>
        <w:rPr>
          <w:i/>
        </w:rPr>
        <w:t>Measuring your Net Promoter Score.</w:t>
      </w:r>
      <w:r>
        <w:t xml:space="preserve">  https://www.netpromotersystem.com/about/measuring-your-net-promoter-score/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Customer satisfaction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