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Soft Drinks Usage and Attitudes Research Brief</w:t>
      </w:r>
    </w:p>
    <w:p>
      <w:pPr>
        <w:pStyle w:val="Subtitle"/>
      </w:pPr>
      <w:r>
        <w:t>Fictional client to agency brief</w:t>
      </w:r>
    </w:p>
    <w:p>
      <w:r>
        <w:t>From: Karoo Drinks (Pty) Ltd, a fictional client</w:t>
        <w:br/>
        <w:t>To: The research agency</w:t>
        <w:br/>
        <w:t>Focal brand: Karoo Fizz, a fictional brand</w:t>
      </w:r>
    </w:p>
    <w:p>
      <w:r>
        <w:t>This brief is a simulated research commission. Karoo Drinks (Pty) Ltd and Karoo Fizz are fictional. All respondent records and study results are synthetic; they do not describe real people or actual brand performance.</w:t>
      </w:r>
    </w:p>
    <w:p>
      <w:pPr>
        <w:pStyle w:val="Heading1"/>
      </w:pPr>
      <w:r>
        <w:t>Business purpose</w:t>
      </w:r>
    </w:p>
    <w:p>
      <w:r>
        <w:t>We need to decide where Karoo Fizz should focus its next growth plan within South Africa’s carbonated soft drinks category. We want the research to distinguish opportunities to recruit new or lapsed drinkers from opportunities to increase use among light drinkers and strengthen repeat purchase among existing buyers. The study must identify the needs, occasions and practical barriers behind those opportunities, rather than report brand rankings alone.</w:t>
      </w:r>
    </w:p>
    <w:p>
      <w:r>
        <w:t>We also need to understand brand meaning, future intentions and postponed purchases so that the growth plan addresses both current behaviour and possible future demand. We have not assumed that any opportunity is proven. Treat affordability, availability, low or no sugar options, and competitive switching as questions for the study. Do not describe changes in the synthetic data as evidence of actual market performance.</w:t>
      </w:r>
    </w:p>
    <w:p>
      <w:pPr>
        <w:pStyle w:val="Heading1"/>
      </w:pPr>
      <w:r>
        <w:t>Decisions in priority order</w:t>
      </w:r>
    </w:p>
    <w:p>
      <w:r>
        <w:t>1. Choose the growth audience. Identify which non-users, lapsed users and light users offer the clearest opportunity, what currently holds them back, and whether the priority is recruitment, reactivation or more frequent use.</w:t>
      </w:r>
    </w:p>
    <w:p>
      <w:r>
        <w:t>2. Choose the proposition and occasion. Establish which consumption occasions and unmet needs Karoo Fizz should address, including the role of regular and low or no sugar variants.</w:t>
      </w:r>
    </w:p>
    <w:p>
      <w:r>
        <w:t>3. Choose the commercial response. Assess whether price, value, pack choice or access is the more relevant constraint for each priority audience.</w:t>
      </w:r>
    </w:p>
    <w:p>
      <w:r>
        <w:t>4. Protect repeat purchase. Identify how consumers move between brands and substitutes, where Karoo Fizz earns a place in the repertoire, and what is associated with repeat or intended future purchase.</w:t>
      </w:r>
    </w:p>
    <w:p>
      <w:pPr>
        <w:pStyle w:val="Heading1"/>
      </w:pPr>
      <w:r>
        <w:t>Category boundary</w:t>
      </w:r>
    </w:p>
    <w:p>
      <w:r>
        <w:t>Include ready-to-drink carbonated soft drinks: regular and low or no sugar cola, lemonade, orange and other flavoured fizzy drinks, and carbonated mixers consumed on their own. Exclude plain still or sparkling water, fruit juice, energy drinks, sports drinks, hot drinks, and alcoholic drinks, including mixers consumed with alcohol. Excluded non-alcoholic drinks may be recorded as substitutes rather than counted within category use, purchases, volume or spend.</w:t>
      </w:r>
    </w:p>
    <w:p>
      <w:r>
        <w:br w:type="page"/>
      </w:r>
    </w:p>
    <w:p>
      <w:pPr>
        <w:pStyle w:val="Heading1"/>
      </w:pPr>
      <w:r>
        <w:t>Research coverage</w:t>
      </w:r>
    </w:p>
    <w:p>
      <w:pPr>
        <w:pStyle w:val="Heading2"/>
      </w:pPr>
      <w:r>
        <w:t>Category footprint and size</w:t>
      </w:r>
    </w:p>
    <w:p>
      <w:r>
        <w:t>Establish category use and purchasing across South African adults, including current users, non-users and lapsed users. Measure recency, frequency, reported volume and spend. Keep consumption and purchasing separate: a person may drink a product, buy it for others, do both or do neither. Size outputs must use the fictional planning base described in the study setup.</w:t>
      </w:r>
    </w:p>
    <w:p>
      <w:pPr>
        <w:pStyle w:val="Heading2"/>
      </w:pPr>
      <w:r>
        <w:t>Usage and brand repertoire</w:t>
      </w:r>
    </w:p>
    <w:p>
      <w:r>
        <w:t>Identify brands used and bought within each stated recall period, the breadth of the repertoire, and the place of Karoo Fizz within it. Distinguish category activity from brand activity. Do not interpret shopping-trip counts for individual brands as mutually exclusive portions of category purchases.</w:t>
      </w:r>
    </w:p>
    <w:p>
      <w:pPr>
        <w:pStyle w:val="Heading2"/>
      </w:pPr>
      <w:r>
        <w:t>Occasions and context</w:t>
      </w:r>
    </w:p>
    <w:p>
      <w:r>
        <w:t>Describe the most recent consumption occasion, including setting, company and product variant. Do not treat a single episode as a person’s complete repertoire. For a specific postponed purchase, what did people do instead? Separately, what would they do if their first-choice brand were unavailable? Keep reported episodes distinct from hypothetical alternatives.</w:t>
      </w:r>
    </w:p>
    <w:p>
      <w:pPr>
        <w:pStyle w:val="Heading2"/>
      </w:pPr>
      <w:r>
        <w:t>Needs emotions and attitudes</w:t>
      </w:r>
    </w:p>
    <w:p>
      <w:r>
        <w:t>Identify the needs, emotions and attitudes associated with category use and avoidance. How are regular and low or no sugar variants represented on the most recent consumption occasion? Relate this to reported needs, sugar concerns and brand experience, without treating one episode as a person’s complete variant repertoire.</w:t>
      </w:r>
    </w:p>
    <w:p>
      <w:pPr>
        <w:pStyle w:val="Heading2"/>
      </w:pPr>
      <w:r>
        <w:t>Brand memory and meaning</w:t>
      </w:r>
    </w:p>
    <w:p>
      <w:r>
        <w:t>Measure unaided awareness before showing any brand list, then assess prompted awareness. Include three short, ordinary text exercises: spontaneous brand associations; brand recall cued by a consumption occasion; and prompted brand perceptions covering taste, value, convenience and suitability for sharing. Keep the three measures distinct. If a split sample is used, show the eligible base for each exercise.</w:t>
      </w:r>
    </w:p>
    <w:p>
      <w:r>
        <w:t>The named-brand roster comprises Karoo Fizz, Coca-Cola, Pepsi, Fanta, Sprite and Schweppes, plus another named brand. Behaviour questions additionally allow unbranded drinks and an unknown brand; these are not named-brand awareness options. Real brand names provide category context only. Simulated results must not be represented as findings about these organisations.</w:t>
      </w:r>
    </w:p>
    <w:p>
      <w:r>
        <w:br w:type="page"/>
      </w:r>
    </w:p>
    <w:p>
      <w:pPr>
        <w:pStyle w:val="Heading1"/>
      </w:pPr>
      <w:r>
        <w:t>Research coverage continued</w:t>
      </w:r>
    </w:p>
    <w:p>
      <w:pPr>
        <w:pStyle w:val="Heading2"/>
      </w:pPr>
      <w:r>
        <w:t>Choice access and barriers</w:t>
      </w:r>
    </w:p>
    <w:p>
      <w:r>
        <w:t>Assess the role of affordability, value, pack choice, purchase channel and availability. Which constraints matter for each priority audience? Distinguish consideration and stated first choice from reported buying, and examine the hypothetical alternative if the first-choice brand is unavailable. Keep stated attitudes separate from behaviour reported within the synthetic records.</w:t>
      </w:r>
    </w:p>
    <w:p>
      <w:pPr>
        <w:pStyle w:val="Heading2"/>
      </w:pPr>
      <w:r>
        <w:t>Experience repeat and switching</w:t>
      </w:r>
    </w:p>
    <w:p>
      <w:r>
        <w:t>Examine experience among eligible brand users and repeat purchase among eligible buyers. Identify whether a weak result reflects lack of awareness, lack of trial, poor access or weak reported repeat purchase rather than treating each as the same problem. Assess switching within the category and substitution outside it. Do not describe cross-sectional comparisons as individual retention over time.</w:t>
      </w:r>
    </w:p>
    <w:p>
      <w:pPr>
        <w:pStyle w:val="Heading2"/>
      </w:pPr>
      <w:r>
        <w:t>Future needs and deferred demand</w:t>
      </w:r>
    </w:p>
    <w:p>
      <w:r>
        <w:t>Separate intention to drink the category from intention to buy it. Distinguish consideration and stated first choice from repurchase intention among people who reported buying a brand in the specified period. Compare these forward-looking responses with recent behaviour without treating stated intention as a forecast of sales.</w:t>
      </w:r>
    </w:p>
    <w:p>
      <w:r>
        <w:t>Identify specific postponed category purchases, their current status, reasons for postponement, the alternatives chosen, and the conditions that could release the purchase. Establish whether an episode represents a delay, substitution or abandonment. Postponed spend is not guaranteed future demand.</w:t>
      </w:r>
    </w:p>
    <w:p>
      <w:pPr>
        <w:pStyle w:val="Heading2"/>
      </w:pPr>
      <w:r>
        <w:t>Growth opportunities</w:t>
      </w:r>
    </w:p>
    <w:p>
      <w:r>
        <w:t>Bring the nine research areas together to compare recruitment, reactivation, more frequent use and repeat-purchase opportunities. Assess priority audiences, occasions, needs and barriers against the four decisions in this brief. Recommendations should explain the evidence and uncertainty behind each opportunity, not simply rank the largest percentages.</w:t>
      </w:r>
    </w:p>
    <w:p>
      <w:pPr>
        <w:pStyle w:val="Heading1"/>
      </w:pPr>
      <w:r>
        <w:t>Audience and study design</w:t>
      </w:r>
    </w:p>
    <w:p>
      <w:r>
        <w:t>Cover adults aged 18 or older living in South Africa, including current users, non-users, lapsed users and people who buy for others. Do not limit the study to category users or Karoo Fizz buyers. Use three independent cross-sections of 5,000 synthetic respondents each, giving 15,000 distinct fictional records. The waves are not a panel: do not describe wave differences as changes in the same individuals.</w:t>
      </w:r>
    </w:p>
    <w:p>
      <w:r>
        <w:br w:type="page"/>
      </w:r>
    </w:p>
    <w:p>
      <w:pPr>
        <w:pStyle w:val="Heading1"/>
      </w:pPr>
      <w:r>
        <w:t>Synthetic study setup</w:t>
      </w:r>
    </w:p>
    <w:p>
      <w:r>
        <w:t>Use an invented planning universe of 1,000,000 people within each wave to test numeric size estimates. Expansion weights must sum to 1,000,000 within each wave. This is a software-test base, not the population of South Africa or a calibrated population estimate. Repeat the same fictional base in all three waves; do not add the waves together as a population of 3,000,000 people.</w:t>
      </w:r>
    </w:p>
    <w:tbl>
      <w:tblPr>
        <w:tblW w:type="auto" w:w="0"/>
        <w:jc w:val="center"/>
        <w:tblLayout w:type="fixed"/>
        <w:tblLook w:firstColumn="1" w:firstRow="1" w:lastColumn="0" w:lastRow="0" w:noHBand="0" w:noVBand="1" w:val="04A0"/>
      </w:tblPr>
      <w:tblGrid>
        <w:gridCol w:w="864"/>
        <w:gridCol w:w="2304"/>
        <w:gridCol w:w="6710"/>
      </w:tblGrid>
      <w:tr>
        <w:trPr>
          <w:tblHeader/>
          <w:cantSplit/>
        </w:trPr>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3"/>
          </w:tcPr>
          <w:p>
            <w:pPr>
              <w:spacing w:after="0" w:line="247" w:lineRule="auto"/>
            </w:pPr>
            <w:r>
              <w:rPr>
                <w:b/>
                <w:sz w:val="21"/>
              </w:rPr>
              <w:t>Wave</w:t>
            </w:r>
          </w:p>
        </w:tc>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3"/>
          </w:tcPr>
          <w:p>
            <w:pPr>
              <w:spacing w:after="0" w:line="247" w:lineRule="auto"/>
            </w:pPr>
            <w:r>
              <w:rPr>
                <w:b/>
                <w:sz w:val="21"/>
              </w:rPr>
              <w:t>Reference date</w:t>
            </w:r>
          </w:p>
        </w:tc>
        <w:tc>
          <w:tcPr>
            <w:tcW w:type="dxa" w:w="671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3"/>
          </w:tcPr>
          <w:p>
            <w:pPr>
              <w:spacing w:after="0" w:line="247" w:lineRule="auto"/>
            </w:pPr>
            <w:r>
              <w:rPr>
                <w:b/>
                <w:sz w:val="21"/>
              </w:rPr>
              <w:t>Prior calendar quarter</w:t>
            </w:r>
          </w:p>
        </w:tc>
      </w:tr>
      <w:tr>
        <w:trPr>
          <w:cantSplit/>
        </w:trPr>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1</w:t>
            </w:r>
          </w:p>
        </w:tc>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1 April 2026</w:t>
            </w:r>
          </w:p>
        </w:tc>
        <w:tc>
          <w:tcPr>
            <w:tcW w:type="dxa" w:w="671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1 January to 31 March 2026</w:t>
            </w:r>
          </w:p>
        </w:tc>
      </w:tr>
      <w:tr>
        <w:trPr>
          <w:cantSplit/>
        </w:trPr>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2</w:t>
            </w:r>
          </w:p>
        </w:tc>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1 July 2026</w:t>
            </w:r>
          </w:p>
        </w:tc>
        <w:tc>
          <w:tcPr>
            <w:tcW w:type="dxa" w:w="671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1 April to 30 June 2026</w:t>
            </w:r>
          </w:p>
        </w:tc>
      </w:tr>
      <w:tr>
        <w:trPr>
          <w:cantSplit/>
        </w:trPr>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3</w:t>
            </w:r>
          </w:p>
        </w:tc>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1 October 2026</w:t>
            </w:r>
          </w:p>
        </w:tc>
        <w:tc>
          <w:tcPr>
            <w:tcW w:type="dxa" w:w="671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0" w:line="247" w:lineRule="auto"/>
            </w:pPr>
            <w:r>
              <w:rPr>
                <w:b w:val="0"/>
                <w:sz w:val="21"/>
              </w:rPr>
              <w:t>1 July to 30 September 2026</w:t>
            </w:r>
          </w:p>
        </w:tc>
      </w:tr>
    </w:tbl>
    <w:p>
      <w:pPr>
        <w:spacing w:after="0"/>
      </w:pPr>
    </w:p>
    <w:p>
      <w:r>
        <w:t>These are simulated reference points and retrospective windows, not real interview dates. Retain each question’s stated recall period. Report volume in litres and spend in South African rand. Brand shopping-trip counts are non-additive because one trip may include more than one brand; do not present them as shares that must sum to 100%.</w:t>
      </w:r>
    </w:p>
    <w:p>
      <w:pPr>
        <w:pStyle w:val="Heading1"/>
      </w:pPr>
      <w:r>
        <w:t>Questionnaire requirements</w:t>
      </w:r>
    </w:p>
    <w:p>
      <w:r>
        <w:t>Use a complete administered questionnaire with separate sequential question numbers, full wording, individually coded response options, explicit routes, scale anchors and entry instructions. Keep wording and coding consistent across waves except for dates. Preserve zero, not applicable, not asked, missing, uncertain and declined responses as distinct states. Omit ownership and subscription questions. Keep all brand exercises in ordinary text, without visual, implicit or speed tests.</w:t>
      </w:r>
    </w:p>
    <w:p>
      <w:pPr>
        <w:pStyle w:val="Heading1"/>
      </w:pPr>
      <w:r>
        <w:t>Requested outputs and reporting</w:t>
      </w:r>
    </w:p>
    <w:p>
      <w:r>
        <w:t>Provide the editable questionnaire, three respondent-level datasets of 5,000 records each, and a codebook explaining every field, code, route, unit and missing state. Validate questionnaire alignment, eligibility, use and purchase relationships, brand relationships and recall periods.</w:t>
      </w:r>
    </w:p>
    <w:p>
      <w:r>
        <w:t>Organise the reporting around the four priority decisions and all nine research areas. Include audience profiles, category and brand funnels, occasions, needs, sugar variants, brand meaning, affordability, access, experience, repeat purchase, switching, future intentions and postponed purchases. Compare relevant groups and waves with the eligible base shown for every result.</w:t>
      </w:r>
    </w:p>
    <w:p>
      <w:r>
        <w:t>Explain limitations from different respondents, small eligible bases, routing and generation assumptions. Synthetic results may demonstrate analysis and decision-making, but cannot establish actual brand performance, population estimates, causal effects or market forecasts. Recommendations must remain conditional on validation through real research.</w:t>
      </w:r>
    </w:p>
    <w:p>
      <w:pPr>
        <w:pStyle w:val="Heading1"/>
        <w:spacing w:before="360"/>
      </w:pPr>
      <w:r>
        <w:t>Acceptance criteria</w:t>
      </w:r>
    </w:p>
    <w:p>
      <w:r>
        <w:t>Another researcher must be able to trace each survey response field to its administered question, with administrative and derived fields documented separately; reproduce eligible bases; and distinguish drinking from buying. The questionnaire must not reveal prompted brands before unaided awareness. All materials must clearly identify the exercise as fictional and synthetic.</w:t>
      </w:r>
    </w:p>
    <w:sectPr w:rsidR="00FC693F" w:rsidRPr="0006063C" w:rsidSect="00034616">
      <w:footerReference w:type="default" r:id="rId9"/>
      <w:pgSz w:w="12240" w:h="15840"/>
      <w:pgMar w:top="1037" w:right="1181" w:bottom="950" w:left="1181"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African Soft Drinks Usage and Attitudes Research Brief</dc:title>
  <dc:subject>Fictional South African carbonated soft drinks study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