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Northstar client brief</w:t>
      </w:r>
    </w:p>
    <w:p>
      <w:r>
        <w:t xml:space="preserve">Objective 1: Quantify purchase differences by gender.</w:t>
      </w:r>
    </w:p>
    <w:p>
      <w:r>
        <w:t xml:space="preserve">Objective 2: Evaluate satisfaction and recommendation levels.</w:t>
      </w:r>
    </w:p>
    <w:p>
      <w:r>
        <w:t xml:space="preserve">Objective 3: Identify service priorities and overlooked segment differences.</w:t>
      </w:r>
    </w:p>
    <w:p>
      <w:r>
        <w:t xml:space="preserve">Business decision 1: Choose whether to prioritize convenience improvements.</w:t>
      </w:r>
    </w:p>
    <w:p>
      <w:r>
        <w:t xml:space="preserve">Business decision 2: Decide whether a gender-specific offer is justified.</w:t>
      </w:r>
    </w:p>
    <w:p>
      <w:r>
        <w:t xml:space="preserve">Use unweighted synthetic survey evidence and disclose uncertainty.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2026-10-15T17:10:48.025Z</dcterms:created>
  <dcterms:modified xsi:type="dcterms:W3CDTF">2026-10-15T17:10:48.026Z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