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Synthetic prior report � planted claims</w:t>
      </w:r>
    </w:p>
    <w:p>
      <w:r>
        <w:t xml:space="preserve">C1: Overall purchase intention is50%.</w:t>
      </w:r>
    </w:p>
    <w:p>
      <w:r>
        <w:t xml:space="preserve">C2: Mean satisfaction is3.5 on a1�5 scale.</w:t>
      </w:r>
    </w:p>
    <w:p>
      <w:pPr>
        <w:pageBreakBefore/>
      </w:pPr>
      <w:r>
        <w:t xml:space="preserve">C3: Overall NPS is25.</w:t>
      </w:r>
    </w:p>
    <w:p>
      <w:r>
        <w:t xml:space="preserve">C4: Convenience is selected by60%.</w:t>
      </w:r>
    </w:p>
    <w:p>
      <w:pPr>
        <w:pageBreakBefore/>
      </w:pPr>
      <w:r>
        <w:t xml:space="preserve">C5: Purchase intention is60% among men and40% among women.</w:t>
      </w:r>
    </w:p>
    <w:p>
      <w:r>
        <w:t xml:space="preserve">C6: Overall purchase intention is70%.</w:t>
      </w:r>
    </w:p>
    <w:p>
      <w:pPr>
        <w:pageBreakBefore/>
      </w:pPr>
      <w:r>
        <w:t xml:space="preserve">C7: Mean satisfaction is4.2.</w:t>
      </w:r>
    </w:p>
    <w:p>
      <w:r>
        <w:t xml:space="preserve">C8: NearTie51% among men versus49% among women is statistically significant at5%.</w:t>
      </w:r>
    </w:p>
    <w:p>
      <w:pPr>
        <w:pageBreakBefore/>
      </w:pPr>
      <w:r>
        <w:t xml:space="preserve">C9: The small subgroup, only16 respondents, establishes a definitive population-wide conclusion.</w:t>
      </w:r>
    </w:p>
    <w:p>
      <w:r>
        <w:t xml:space="preserve">C10: Advertising caused loyalty to grow.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2026-10-15T17:10:48.095Z</dcterms:created>
  <dcterms:modified xsi:type="dcterms:W3CDTF">2026-10-15T17:10:48.095Z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