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separate CSM research brief</w:t>
      </w:r>
    </w:p>
    <w:p>
      <w:pPr>
        <w:pStyle w:val="Subtitle"/>
      </w:pPr>
      <w:r>
        <w:t>Two linked current customer instruments and three independent survey waves</w:t>
      </w:r>
    </w:p>
    <w:p>
      <w:pPr>
        <w:spacing w:after="80" w:line="240" w:lineRule="auto"/>
      </w:pPr>
      <w:r>
        <w:t>The research team needs a coherent tracker for company relationships and recent channel experiences. Keep two linked instruments and data grains: one Respondents row per current customer, and one Experiences row per latest used channel experience. This is a fictional Vodacom commissioning brief for synthetic demonstration data, not an instruction issued by that company.</w:t>
      </w:r>
    </w:p>
    <w:p>
      <w:pPr>
        <w:pStyle w:val="Heading1"/>
      </w:pPr>
      <w:r>
        <w:t>Decisions and measurement objectives</w:t>
      </w:r>
    </w:p>
    <w:p>
      <w:pPr>
        <w:spacing w:after="80" w:line="240" w:lineRule="auto"/>
      </w:pPr>
      <w:r>
        <w:t>Identify relationship strengths, switching risks, service failures and priorities for investigation. Cover company satisfaction, expectations, service performance and importance, fairness, trust, recommendation, continuing use, complaints and stated switching intentions. Recent channel modules cover satisfaction, ease, task completion, resolution, repeated contact, waiting, IVR, staff treatment and physical facilities where applicable.</w:t>
      </w:r>
    </w:p>
    <w:p>
      <w:pPr>
        <w:spacing w:after="80" w:line="240" w:lineRule="auto"/>
      </w:pPr>
      <w:r>
        <w:t>Preserve the expanded anchored journey, channel continuity, emotions and explanations, experience led preference and staying reasons. Add anger and disappointment alongside reassurance, feeling valued, frustration and anxiety, plus fuller call centre and IVR diagnostics. Preference can coexist with habit or switching constraints. Competitive evidence requires personal recent use of the same task type.</w:t>
      </w:r>
    </w:p>
    <w:p>
      <w:pPr>
        <w:pStyle w:val="Heading1"/>
      </w:pPr>
      <w:r>
        <w:t>Population and sample</w:t>
      </w:r>
    </w:p>
    <w:p>
      <w:pPr>
        <w:spacing w:after="80" w:line="240" w:lineRule="auto"/>
      </w:pPr>
      <w:r>
        <w:t>Adults aged 18 to 69 who currently use a personal mobile voice or data service. Rate the provider of the connection used most, not every SIM owned. Include prepaid, contract and hybrid; exclude fixed fibre and home only fixed wireless.</w:t>
      </w:r>
    </w:p>
    <w:p>
      <w:pPr>
        <w:spacing w:after="80" w:line="240" w:lineRule="auto"/>
      </w:pPr>
      <w:r>
        <w:t>Use three independent waves of 1,000 current customers each, with illustrative field periods in February, June and October 2026. These are repeated cross sections, not a panel. Keep the fixed provider allocations below; they are demonstration quotas, not market shares.</w:t>
      </w:r>
    </w:p>
    <w:tbl>
      <w:tblPr>
        <w:tblW w:type="auto" w:w="0"/>
        <w:jc w:val="center"/>
        <w:tblLayout w:type="fixed"/>
        <w:tblLook w:firstColumn="1" w:firstRow="1" w:lastColumn="0" w:lastRow="0" w:noHBand="0" w:noVBand="1" w:val="04A0"/>
      </w:tblPr>
      <w:tblGrid>
        <w:gridCol w:w="792"/>
        <w:gridCol w:w="6624"/>
        <w:gridCol w:w="223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Code</w:t>
            </w:r>
          </w:p>
        </w:tc>
        <w:tc>
          <w:tcPr>
            <w:tcW w:type="dxa" w:w="6624"/>
            <w:vAlign w:val="center"/>
            <w:tcMar>
              <w:top w:w="70" w:type="dxa"/>
              <w:left w:w="70" w:type="dxa"/>
              <w:bottom w:w="70" w:type="dxa"/>
              <w:right w:w="70" w:type="dxa"/>
            </w:tcMar>
            <w:shd w:fill="EDEDED"/>
          </w:tcPr>
          <w:p>
            <w:pPr>
              <w:spacing w:after="40" w:before="40"/>
            </w:pPr>
            <w:r>
              <w:rPr>
                <w:rFonts w:ascii="Arial" w:hAnsi="Arial"/>
                <w:b/>
                <w:color w:val="000000"/>
                <w:sz w:val="22"/>
              </w:rPr>
              <w:t>Main provider</w:t>
            </w:r>
          </w:p>
        </w:tc>
        <w:tc>
          <w:tcPr>
            <w:tcW w:type="dxa" w:w="2232"/>
            <w:vAlign w:val="center"/>
            <w:tcMar>
              <w:top w:w="70" w:type="dxa"/>
              <w:left w:w="70" w:type="dxa"/>
              <w:bottom w:w="70" w:type="dxa"/>
              <w:right w:w="70" w:type="dxa"/>
            </w:tcMar>
            <w:shd w:fill="EDEDED"/>
          </w:tcPr>
          <w:p>
            <w:pPr>
              <w:spacing w:after="40" w:before="40"/>
            </w:pPr>
            <w:r>
              <w:rPr>
                <w:rFonts w:ascii="Arial" w:hAnsi="Arial"/>
                <w:b/>
                <w:color w:val="000000"/>
                <w:sz w:val="22"/>
              </w:rPr>
              <w:t>Cases per wave</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Vodacom</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320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MTN</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300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Telkom Mobile</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160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Cell C</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100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5</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FNB Connect</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60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6</w:t>
            </w:r>
          </w:p>
        </w:tc>
        <w:tc>
          <w:tcPr>
            <w:tcW w:type="dxa" w:w="6624"/>
            <w:vAlign w:val="center"/>
            <w:tcMar>
              <w:top w:w="70" w:type="dxa"/>
              <w:left w:w="70" w:type="dxa"/>
              <w:bottom w:w="70" w:type="dxa"/>
              <w:right w:w="70" w:type="dxa"/>
            </w:tcMar>
          </w:tcPr>
          <w:p>
            <w:pPr>
              <w:spacing w:after="40" w:before="40"/>
            </w:pPr>
            <w:r>
              <w:rPr>
                <w:rFonts w:ascii="Arial" w:hAnsi="Arial"/>
                <w:b w:val="0"/>
                <w:color w:val="000000"/>
                <w:sz w:val="22"/>
              </w:rPr>
              <w:t>Capitec Connect</w:t>
            </w:r>
          </w:p>
        </w:tc>
        <w:tc>
          <w:tcPr>
            <w:tcW w:type="dxa" w:w="2232"/>
            <w:vAlign w:val="center"/>
            <w:tcMar>
              <w:top w:w="70" w:type="dxa"/>
              <w:left w:w="70" w:type="dxa"/>
              <w:bottom w:w="70" w:type="dxa"/>
              <w:right w:w="70" w:type="dxa"/>
            </w:tcMar>
          </w:tcPr>
          <w:p>
            <w:pPr>
              <w:spacing w:after="40" w:before="40"/>
            </w:pPr>
            <w:r>
              <w:rPr>
                <w:rFonts w:ascii="Arial" w:hAnsi="Arial"/>
                <w:b w:val="0"/>
                <w:color w:val="000000"/>
                <w:sz w:val="22"/>
              </w:rPr>
              <w:t>60</w:t>
            </w:r>
          </w:p>
        </w:tc>
      </w:tr>
    </w:tbl>
    <w:p>
      <w:pPr>
        <w:spacing w:after="80" w:line="240" w:lineRule="auto"/>
      </w:pPr>
      <w:r>
        <w:t>Retail MVNO brands remain distinct provider codes; do not describe them as independent infrastructure networks.</w:t>
      </w:r>
    </w:p>
    <w:p>
      <w:pPr>
        <w:pStyle w:val="Heading1"/>
      </w:pPr>
      <w:r>
        <w:t>Recall and interview order</w:t>
      </w:r>
    </w:p>
    <w:p>
      <w:pPr>
        <w:spacing w:after="80" w:line="240" w:lineRule="auto"/>
      </w:pPr>
      <w:r>
        <w:t>Ask company measures before detailed experience questions. Company ratings cover the past three months or since joining if shorter. Screen channel use over the past 30 days, then ask only the latest interaction in each used channel. Recalled contact counts are not a register of every interaction.</w:t>
      </w:r>
    </w:p>
    <w:p>
      <w:pPr>
        <w:pStyle w:val="Heading1"/>
        <w:pageBreakBefore/>
      </w:pPr>
      <w:r>
        <w:t>Two linked instruments and data grains</w:t>
      </w:r>
    </w:p>
    <w:p>
      <w:pPr>
        <w:spacing w:after="80" w:line="240" w:lineRule="auto"/>
      </w:pPr>
      <w:r>
        <w:t>Collect eligibility and company ratings before detailed channel questions. The company instrument also captures loyalty, complaints, channel use, one independently anchored recent task and eligible competitor follow up. Ask the channel instrument once for the latest experience in each used channel. Carry shared context and the canonical weight rather than asking these again.</w:t>
      </w:r>
    </w:p>
    <w:tbl>
      <w:tblPr>
        <w:tblW w:type="auto" w:w="0"/>
        <w:jc w:val="center"/>
        <w:tblLayout w:type="fixed"/>
        <w:tblLook w:firstColumn="1" w:firstRow="1" w:lastColumn="0" w:lastRow="0" w:noHBand="0" w:noVBand="1" w:val="04A0"/>
      </w:tblPr>
      <w:tblGrid>
        <w:gridCol w:w="1224"/>
        <w:gridCol w:w="3384"/>
        <w:gridCol w:w="5040"/>
      </w:tblGrid>
      <w:tr>
        <w:trPr>
          <w:cantSplit/>
          <w:tblHeader/>
        </w:trPr>
        <w:tc>
          <w:tcPr>
            <w:tcW w:type="dxa" w:w="1224"/>
            <w:vAlign w:val="center"/>
            <w:tcMar>
              <w:top w:w="70" w:type="dxa"/>
              <w:left w:w="70" w:type="dxa"/>
              <w:bottom w:w="70" w:type="dxa"/>
              <w:right w:w="70" w:type="dxa"/>
            </w:tcMar>
            <w:shd w:fill="EDEDED"/>
          </w:tcPr>
          <w:p>
            <w:pPr>
              <w:spacing w:after="40" w:before="40"/>
            </w:pPr>
            <w:r>
              <w:rPr>
                <w:rFonts w:ascii="Arial" w:hAnsi="Arial"/>
                <w:b/>
                <w:color w:val="000000"/>
                <w:sz w:val="22"/>
              </w:rPr>
              <w:t>Channel code</w:t>
            </w:r>
          </w:p>
        </w:tc>
        <w:tc>
          <w:tcPr>
            <w:tcW w:type="dxa" w:w="3384"/>
            <w:vAlign w:val="center"/>
            <w:tcMar>
              <w:top w:w="70" w:type="dxa"/>
              <w:left w:w="70" w:type="dxa"/>
              <w:bottom w:w="70" w:type="dxa"/>
              <w:right w:w="70" w:type="dxa"/>
            </w:tcMar>
            <w:shd w:fill="EDEDED"/>
          </w:tcPr>
          <w:p>
            <w:pPr>
              <w:spacing w:after="40" w:before="40"/>
            </w:pPr>
            <w:r>
              <w:rPr>
                <w:rFonts w:ascii="Arial" w:hAnsi="Arial"/>
                <w:b/>
                <w:color w:val="000000"/>
                <w:sz w:val="22"/>
              </w:rPr>
              <w:t>Module</w:t>
            </w:r>
          </w:p>
        </w:tc>
        <w:tc>
          <w:tcPr>
            <w:tcW w:type="dxa" w:w="5040"/>
            <w:vAlign w:val="center"/>
            <w:tcMar>
              <w:top w:w="70" w:type="dxa"/>
              <w:left w:w="70" w:type="dxa"/>
              <w:bottom w:w="70" w:type="dxa"/>
              <w:right w:w="70" w:type="dxa"/>
            </w:tcMar>
            <w:shd w:fill="EDEDED"/>
          </w:tcPr>
          <w:p>
            <w:pPr>
              <w:spacing w:after="40" w:before="40"/>
            </w:pPr>
            <w:r>
              <w:rPr>
                <w:rFonts w:ascii="Arial" w:hAnsi="Arial"/>
                <w:b/>
                <w:color w:val="000000"/>
                <w:sz w:val="22"/>
              </w:rPr>
              <w:t>Record rule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Call centre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Retail store or shop</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Latest used experience in 30 days</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Digital self service</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Keep app or website in digital_mode</w:t>
            </w:r>
          </w:p>
        </w:tc>
      </w:tr>
      <w:tr>
        <w:trPr>
          <w:cantSplit/>
        </w:trPr>
        <w:tc>
          <w:tcPr>
            <w:tcW w:type="dxa" w:w="1224"/>
            <w:vAlign w:val="center"/>
            <w:tcMar>
              <w:top w:w="70" w:type="dxa"/>
              <w:left w:w="70" w:type="dxa"/>
              <w:bottom w:w="70" w:type="dxa"/>
              <w:right w:w="70" w:type="dxa"/>
            </w:tcMar>
          </w:tcPr>
          <w:p>
            <w:pPr>
              <w:spacing w:after="40" w:before="40"/>
            </w:pPr>
            <w:r>
              <w:rPr>
                <w:rFonts w:ascii="Arial" w:hAnsi="Arial"/>
                <w:b w:val="0"/>
                <w:color w:val="000000"/>
                <w:sz w:val="22"/>
              </w:rPr>
              <w:t>4</w:t>
            </w:r>
          </w:p>
        </w:tc>
        <w:tc>
          <w:tcPr>
            <w:tcW w:type="dxa" w:w="3384"/>
            <w:vAlign w:val="center"/>
            <w:tcMar>
              <w:top w:w="70" w:type="dxa"/>
              <w:left w:w="70" w:type="dxa"/>
              <w:bottom w:w="70" w:type="dxa"/>
              <w:right w:w="70" w:type="dxa"/>
            </w:tcMar>
          </w:tcPr>
          <w:p>
            <w:pPr>
              <w:spacing w:after="40" w:before="40"/>
            </w:pPr>
            <w:r>
              <w:rPr>
                <w:rFonts w:ascii="Arial" w:hAnsi="Arial"/>
                <w:b w:val="0"/>
                <w:color w:val="000000"/>
                <w:sz w:val="22"/>
              </w:rPr>
              <w:t>Messaging or live chat</w:t>
            </w:r>
          </w:p>
        </w:tc>
        <w:tc>
          <w:tcPr>
            <w:tcW w:type="dxa" w:w="5040"/>
            <w:vAlign w:val="center"/>
            <w:tcMar>
              <w:top w:w="70" w:type="dxa"/>
              <w:left w:w="70" w:type="dxa"/>
              <w:bottom w:w="70" w:type="dxa"/>
              <w:right w:w="70" w:type="dxa"/>
            </w:tcMar>
          </w:tcPr>
          <w:p>
            <w:pPr>
              <w:spacing w:after="40" w:before="40"/>
            </w:pPr>
            <w:r>
              <w:rPr>
                <w:rFonts w:ascii="Arial" w:hAnsi="Arial"/>
                <w:b w:val="0"/>
                <w:color w:val="000000"/>
                <w:sz w:val="22"/>
              </w:rPr>
              <w:t>Staff assisted interaction</w:t>
            </w:r>
          </w:p>
        </w:tc>
      </w:tr>
    </w:tbl>
    <w:p>
      <w:pPr>
        <w:spacing w:after="80" w:line="240" w:lineRule="auto"/>
      </w:pPr>
      <w:r>
        <w:t>Unused channels create no Experiences row. Preserve the company channel use flags, none flag and recalled contact counts as original 0 or 1 or count values. A customer using four channels is still one person in company scores. Latest experiences from different channels need not concern the same task; never combine them into an invented journey.</w:t>
      </w:r>
    </w:p>
    <w:p>
      <w:pPr>
        <w:pStyle w:val="Heading1"/>
      </w:pPr>
      <w:r>
        <w:t>Deliverable contract</w:t>
      </w:r>
    </w:p>
    <w:p>
      <w:pPr>
        <w:pStyle w:val="ListBullet"/>
        <w:spacing w:after="80" w:line="240" w:lineRule="auto"/>
      </w:pPr>
      <w:r>
        <w:t>Separate company and channel questionnaires and Master_CSM_Codebook.xlsx define this sector. Retain original unprefixed question IDs and variable names. The two formats measure identical constructs and contain matching answers; they are alternative representations, not additional samples.</w:t>
      </w:r>
    </w:p>
    <w:p>
      <w:pPr>
        <w:pStyle w:val="ListBullet"/>
        <w:spacing w:after="80" w:line="240" w:lineRule="auto"/>
      </w:pPr>
      <w:r>
        <w:t>Three Mobile_CSM_Relationship_Wave_N.xlsx workbooks contain 1,000 Respondents rows and 100 fields each. Three Mobile_CSM_Channel_Wave_N.xlsx workbooks contain 88 Experiences fields and wave specific row counts. Matching CSV copies sit in test-reference. All 98 baseline company and 71 baseline channel fields are preserved; two company and 17 channel fields are additive.</w:t>
      </w:r>
    </w:p>
    <w:p>
      <w:pPr>
        <w:pStyle w:val="ListBullet"/>
        <w:spacing w:after="80" w:line="240" w:lineRule="auto"/>
      </w:pPr>
      <w:r>
        <w:t>Mobile_CSM_Relationship_All_Waves.xlsx concatenates 3,000 customers and Mobile_CSM_Channel_All_Waves.xlsx concatenates 4,576 experiences, with unchanged waves and weights. Import per wave files or pooled files, never both. Choose separate or combined format, never both. Default to one wave; these are independent cross sections, not a panel.</w:t>
      </w:r>
    </w:p>
    <w:p>
      <w:pPr>
        <w:pStyle w:val="ListBullet"/>
        <w:spacing w:after="80" w:line="240" w:lineRule="auto"/>
      </w:pPr>
      <w:r>
        <w:t>The dashboard and analysis guide, written Claude handoff and CSM_Reference_Metrics.xlsx support implementation and checking. The two questionnaires, matching codebook and separate company and channel XLSX files are sufficient for import; optional JSON is not a dependency.</w:t>
      </w:r>
    </w:p>
    <w:p>
      <w:pPr>
        <w:spacing w:after="80" w:line="240" w:lineRule="auto"/>
      </w:pPr>
      <w:r>
        <w:t>The optional noncustomer questionnaire and Mobile_CSM_Noncustomer_Wave_N.xlsx workbooks remain separate and unchanged. Each wave has 500 independent Vodacom noncustomers with no current focal use, including secondary use, separate anonymous IDs and unit weights. Exclude them from current customer denominators. Expectations and consideration are not unexperienced focal satisfaction.</w:t>
      </w:r>
    </w:p>
    <w:p>
      <w:pPr>
        <w:pStyle w:val="Heading1"/>
      </w:pPr>
      <w:r>
        <w:t>Acceptance and fieldwork controls</w:t>
      </w:r>
    </w:p>
    <w:p>
      <w:pPr>
        <w:spacing w:after="80" w:line="240" w:lineRule="auto"/>
      </w:pPr>
      <w:r>
        <w:t>Preserve original values, codes, dates, IDs, weights, blanks and pending outcomes exactly. Add new synthetic responses without overwriting source fields. Test all modules; the expanded diagnostic modules can be optional in a separately specified real study. Keep labelled five point CSAT, NPS on 0 to 10 and ease on 1 to 7. Show valid bases and low base warnings; no causal, market ranking, observed churn or certified index claims are supported.</w:t>
      </w:r>
    </w:p>
    <w:p>
      <w:pPr>
        <w:keepLines/>
        <w:spacing w:after="80" w:line="240" w:lineRule="auto"/>
      </w:pPr>
      <w:r>
        <w:t>Before fieldwork, agree consent, privacy, retention, access, recruitment and a pilot. Cost interviewing, weighting, processing and reporting separately. This delivery changes files only. Later app work must preserve the existing font and layout and sole #2563eb accent. App changes, deployment and contact with Claude need separate authorisation.</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8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40" w:lineRule="auto" w:after="8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mobile telecoms combined CSM research brief</dc:title>
  <dc:subject>Separate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