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South African mobile telecoms Claude separate implementation instructions</w:t>
      </w:r>
    </w:p>
    <w:p>
      <w:pPr>
        <w:pStyle w:val="Subtitle"/>
      </w:pPr>
      <w:r>
        <w:t>Written handoff for a later authorised application update</w:t>
      </w:r>
    </w:p>
    <w:p>
      <w:r>
        <w:t>Extend the existing importer for the linked separate current customer sources. Preserve the app font, layout, navigation and working components, with only #2563eb as the accent. Do not rebuild, retheme or change existing metrics. This written handoff does not authorise app changes, deployment or communication with Claude.</w:t>
      </w:r>
    </w:p>
    <w:p>
      <w:pPr>
        <w:pStyle w:val="Heading1"/>
      </w:pPr>
      <w:r>
        <w:t>Required inputs and schema contract</w:t>
      </w:r>
    </w:p>
    <w:p>
      <w:r>
        <w:t>Use 01_Company_CSM_Questionnaire.docx, 01_Channel_CSM_Questionnaire.docx and Master_CSM_Codebook.xlsx. Import Respondents from Mobile_CSM_Relationship_Wave_N.xlsx and Experiences from Mobile_CSM_Channel_Wave_N.xlsx, N=1 to 3. Respondents has 1,000 rows and 100 fields per wave; Experiences has 88 fields and varying row counts. Codebook, Labels and MR sets are metadata. Optional CSV, reference workbooks or JSON must never be XLSX import dependencies.</w:t>
      </w:r>
    </w:p>
    <w:p>
      <w:r>
        <w:t>There are 100 company fields and 88 channel fields, with 13 shared context fields in both. Preserve all 98 baseline company and 71 baseline channel fields exactly. The additions are journey_angry5, journey_disappointed5, channel_angry5, channel_disappointed5 and 15 channel 1 diagnostics. Use original unprefixed variable names and question IDs, including J7f J7g, E8f E8g and Q7a through Q9d.</w:t>
      </w:r>
    </w:p>
    <w:p>
      <w:r>
        <w:t>Shared context is repeated and must agree on (wave, respondent_id): respondent_id, interview_date, wave, company, weight, age, age_band, gender, province, income, settlement, segment and tenure_months. Preserve original weights, dates, codes, text IDs, leading zeroes and structural blanks. Never silently recode or repair originals.</w:t>
      </w:r>
    </w:p>
    <w:p>
      <w:pPr>
        <w:pStyle w:val="Heading1"/>
      </w:pPr>
      <w:r>
        <w:t>Importer steps</w:t>
      </w:r>
    </w:p>
    <w:p>
      <w:pPr>
        <w:pStyle w:val="ListBullet"/>
        <w:spacing w:after="80"/>
      </w:pPr>
      <w:r>
        <w:t>Validate exact headers and embedded metadata. Within the same study and sector, join on (wave, respondent_id), requiring one Respondents row per key and agreeing company and shared context. Experiences permits multiple channels per person but at most one latest row per person and channel; validate experience_id. Never join by company alone or row position. Keep customers with no channel use.</w:t>
      </w:r>
    </w:p>
    <w:p>
      <w:pPr>
        <w:pStyle w:val="ListBullet"/>
        <w:spacing w:after="80"/>
      </w:pPr>
      <w:r>
        <w:t>Map 1 Call centre, 2 Retail store, 3 Digital self service and 4 Messaging or live chat. Require each Experiences row to match a selected company channel use flag and its source channel code. Keep experience_id, contact_date and app versus website digital_mode. Unused channels create no experience rows.</w:t>
      </w:r>
    </w:p>
    <w:p>
      <w:pPr>
        <w:pStyle w:val="ListBullet"/>
        <w:spacing w:after="80"/>
      </w:pPr>
      <w:r>
        <w:t>Import the two grains separately. Keep channel use flags, none flag and recalled counts on Respondents. Do not repeat company or journey outcomes after joining Experiences, and do not turn recalled counts into extra experience records. Import values and embedded metadata directly; optional test reference files are not dependencies.</w:t>
      </w:r>
    </w:p>
    <w:p>
      <w:r>
        <w:t>Mobile_CSM_Relationship_All_Waves.xlsx exactly concatenates 3,000 customer rows; Mobile_CSM_Channel_All_Waves.xlsx exactly concatenates 4,576 experience rows. CSV copies are in test-reference. Import either the three wave files or All_Waves for each grain, never both. Choose separate or combined format sources, never both representations. Default to one wave, preserve original weights, and do not infer panel change or silently renormalise. Reject conflicts visibly rather than dropping or inventing data.</w:t>
      </w:r>
    </w:p>
    <w:p>
      <w:pPr>
        <w:pStyle w:val="Heading1"/>
        <w:pageBreakBefore/>
      </w:pPr>
      <w:r>
        <w:t>Expanded call centre and IVR module</w:t>
      </w:r>
    </w:p>
    <w:p>
      <w:r>
        <w:t>New call fields use unprefixed variable names in Experiences. call_agent_contact is an explicit 0 No, 1 Yes, 99 Do not know screen. Existing calls retain staff_contact=1 and call_agent_contact=1; never infer agent absence from a negative politeness rating. Future IVR only calls, absent from these fixtures, route to no agent items. Original values remain unchanged.</w:t>
      </w:r>
    </w:p>
    <w:tbl>
      <w:tblPr>
        <w:tblW w:type="auto" w:w="0"/>
        <w:jc w:val="center"/>
        <w:tblLayout w:type="fixed"/>
        <w:tblLook w:firstColumn="1" w:firstRow="1" w:lastColumn="0" w:lastRow="0" w:noHBand="0" w:noVBand="1" w:val="04A0"/>
      </w:tblPr>
      <w:tblGrid>
        <w:gridCol w:w="2952"/>
        <w:gridCol w:w="6696"/>
      </w:tblGrid>
      <w:tr>
        <w:trPr>
          <w:cantSplit/>
          <w:tblHeader/>
        </w:trPr>
        <w:tc>
          <w:tcPr>
            <w:tcW w:type="dxa" w:w="2952"/>
            <w:vAlign w:val="center"/>
            <w:tcMar>
              <w:top w:w="70" w:type="dxa"/>
              <w:left w:w="70" w:type="dxa"/>
              <w:bottom w:w="70" w:type="dxa"/>
              <w:right w:w="70" w:type="dxa"/>
            </w:tcMar>
            <w:shd w:fill="EDEDED"/>
          </w:tcPr>
          <w:p>
            <w:pPr>
              <w:spacing w:after="40" w:before="40"/>
            </w:pPr>
            <w:r>
              <w:rPr>
                <w:rFonts w:ascii="Arial" w:hAnsi="Arial"/>
                <w:b/>
                <w:color w:val="000000"/>
                <w:sz w:val="22"/>
              </w:rPr>
              <w:t>Eligible calls</w:t>
            </w:r>
          </w:p>
        </w:tc>
        <w:tc>
          <w:tcPr>
            <w:tcW w:type="dxa" w:w="6696"/>
            <w:vAlign w:val="center"/>
            <w:tcMar>
              <w:top w:w="70" w:type="dxa"/>
              <w:left w:w="70" w:type="dxa"/>
              <w:bottom w:w="70" w:type="dxa"/>
              <w:right w:w="70" w:type="dxa"/>
            </w:tcMar>
            <w:shd w:fill="EDEDED"/>
          </w:tcPr>
          <w:p>
            <w:pPr>
              <w:spacing w:after="40" w:before="40"/>
            </w:pPr>
            <w:r>
              <w:rPr>
                <w:rFonts w:ascii="Arial" w:hAnsi="Arial"/>
                <w:b/>
                <w:color w:val="000000"/>
                <w:sz w:val="22"/>
              </w:rPr>
              <w:t>New suffixes and routes</w:t>
            </w:r>
          </w:p>
        </w:tc>
      </w:tr>
      <w:tr>
        <w:trPr>
          <w:cantSplit/>
        </w:trPr>
        <w:tc>
          <w:tcPr>
            <w:tcW w:type="dxa" w:w="2952"/>
            <w:vAlign w:val="center"/>
            <w:tcMar>
              <w:top w:w="70" w:type="dxa"/>
              <w:left w:w="70" w:type="dxa"/>
              <w:bottom w:w="70" w:type="dxa"/>
              <w:right w:w="70" w:type="dxa"/>
            </w:tcMar>
          </w:tcPr>
          <w:p>
            <w:pPr>
              <w:spacing w:after="40" w:before="40"/>
            </w:pPr>
            <w:r>
              <w:rPr>
                <w:rFonts w:ascii="Arial" w:hAnsi="Arial"/>
                <w:b w:val="0"/>
                <w:color w:val="000000"/>
                <w:sz w:val="22"/>
              </w:rPr>
              <w:t>All calls</w:t>
            </w:r>
          </w:p>
        </w:tc>
        <w:tc>
          <w:tcPr>
            <w:tcW w:type="dxa" w:w="6696"/>
            <w:vAlign w:val="center"/>
            <w:tcMar>
              <w:top w:w="70" w:type="dxa"/>
              <w:left w:w="70" w:type="dxa"/>
              <w:bottom w:w="70" w:type="dxa"/>
              <w:right w:w="70" w:type="dxa"/>
            </w:tcMar>
          </w:tcPr>
          <w:p>
            <w:pPr>
              <w:spacing w:after="40" w:before="40"/>
            </w:pPr>
            <w:r>
              <w:rPr>
                <w:rFonts w:ascii="Arial" w:hAnsi="Arial"/>
                <w:b w:val="0"/>
                <w:color w:val="000000"/>
                <w:sz w:val="22"/>
              </w:rPr>
              <w:t>total_call_time_csat5; call_agent_contact screen</w:t>
            </w:r>
          </w:p>
        </w:tc>
      </w:tr>
      <w:tr>
        <w:trPr>
          <w:cantSplit/>
        </w:trPr>
        <w:tc>
          <w:tcPr>
            <w:tcW w:type="dxa" w:w="2952"/>
            <w:vAlign w:val="center"/>
            <w:tcMar>
              <w:top w:w="70" w:type="dxa"/>
              <w:left w:w="70" w:type="dxa"/>
              <w:bottom w:w="70" w:type="dxa"/>
              <w:right w:w="70" w:type="dxa"/>
            </w:tcMar>
          </w:tcPr>
          <w:p>
            <w:pPr>
              <w:spacing w:after="40" w:before="40"/>
            </w:pPr>
            <w:r>
              <w:rPr>
                <w:rFonts w:ascii="Arial" w:hAnsi="Arial"/>
                <w:b w:val="0"/>
                <w:color w:val="000000"/>
                <w:sz w:val="22"/>
              </w:rPr>
              <w:t>Live agent contact equals 1</w:t>
            </w:r>
          </w:p>
        </w:tc>
        <w:tc>
          <w:tcPr>
            <w:tcW w:type="dxa" w:w="6696"/>
            <w:vAlign w:val="center"/>
            <w:tcMar>
              <w:top w:w="70" w:type="dxa"/>
              <w:left w:w="70" w:type="dxa"/>
              <w:bottom w:w="70" w:type="dxa"/>
              <w:right w:w="70" w:type="dxa"/>
            </w:tcMar>
          </w:tcPr>
          <w:p>
            <w:pPr>
              <w:spacing w:after="40" w:before="40"/>
            </w:pPr>
            <w:r>
              <w:rPr>
                <w:rFonts w:ascii="Arial" w:hAnsi="Arial"/>
                <w:b w:val="0"/>
                <w:color w:val="000000"/>
                <w:sz w:val="22"/>
              </w:rPr>
              <w:t>queue_wait_csat5 even when wait is zero; agent_overall_csat5; agent_ownership5; agent_patience5; agent_promise_made and urgency_need screens</w:t>
            </w:r>
          </w:p>
        </w:tc>
      </w:tr>
      <w:tr>
        <w:trPr>
          <w:cantSplit/>
        </w:trPr>
        <w:tc>
          <w:tcPr>
            <w:tcW w:type="dxa" w:w="2952"/>
            <w:vAlign w:val="center"/>
            <w:tcMar>
              <w:top w:w="70" w:type="dxa"/>
              <w:left w:w="70" w:type="dxa"/>
              <w:bottom w:w="70" w:type="dxa"/>
              <w:right w:w="70" w:type="dxa"/>
            </w:tcMar>
          </w:tcPr>
          <w:p>
            <w:pPr>
              <w:spacing w:after="40" w:before="40"/>
            </w:pPr>
            <w:r>
              <w:rPr>
                <w:rFonts w:ascii="Arial" w:hAnsi="Arial"/>
                <w:b w:val="0"/>
                <w:color w:val="000000"/>
                <w:sz w:val="22"/>
              </w:rPr>
              <w:t>Live agent and transferred equals 1</w:t>
            </w:r>
          </w:p>
        </w:tc>
        <w:tc>
          <w:tcPr>
            <w:tcW w:type="dxa" w:w="6696"/>
            <w:vAlign w:val="center"/>
            <w:tcMar>
              <w:top w:w="70" w:type="dxa"/>
              <w:left w:w="70" w:type="dxa"/>
              <w:bottom w:w="70" w:type="dxa"/>
              <w:right w:w="70" w:type="dxa"/>
            </w:tcMar>
          </w:tcPr>
          <w:p>
            <w:pPr>
              <w:spacing w:after="40" w:before="40"/>
            </w:pPr>
            <w:r>
              <w:rPr>
                <w:rFonts w:ascii="Arial" w:hAnsi="Arial"/>
                <w:b w:val="0"/>
                <w:color w:val="000000"/>
                <w:sz w:val="22"/>
              </w:rPr>
              <w:t>correct_person_first_transfer; binary answer with 99 Do not know</w:t>
            </w:r>
          </w:p>
        </w:tc>
      </w:tr>
      <w:tr>
        <w:trPr>
          <w:cantSplit/>
        </w:trPr>
        <w:tc>
          <w:tcPr>
            <w:tcW w:type="dxa" w:w="2952"/>
            <w:vAlign w:val="center"/>
            <w:tcMar>
              <w:top w:w="70" w:type="dxa"/>
              <w:left w:w="70" w:type="dxa"/>
              <w:bottom w:w="70" w:type="dxa"/>
              <w:right w:w="70" w:type="dxa"/>
            </w:tcMar>
          </w:tcPr>
          <w:p>
            <w:pPr>
              <w:spacing w:after="40" w:before="40"/>
            </w:pPr>
            <w:r>
              <w:rPr>
                <w:rFonts w:ascii="Arial" w:hAnsi="Arial"/>
                <w:b w:val="0"/>
                <w:color w:val="000000"/>
                <w:sz w:val="22"/>
              </w:rPr>
              <w:t>Live agent and promise made equals 1</w:t>
            </w:r>
          </w:p>
        </w:tc>
        <w:tc>
          <w:tcPr>
            <w:tcW w:type="dxa" w:w="6696"/>
            <w:vAlign w:val="center"/>
            <w:tcMar>
              <w:top w:w="70" w:type="dxa"/>
              <w:left w:w="70" w:type="dxa"/>
              <w:bottom w:w="70" w:type="dxa"/>
              <w:right w:w="70" w:type="dxa"/>
            </w:tcMar>
          </w:tcPr>
          <w:p>
            <w:pPr>
              <w:spacing w:after="40" w:before="40"/>
            </w:pPr>
            <w:r>
              <w:rPr>
                <w:rFonts w:ascii="Arial" w:hAnsi="Arial"/>
                <w:b w:val="0"/>
                <w:color w:val="000000"/>
                <w:sz w:val="22"/>
              </w:rPr>
              <w:t>agent_promises_kept5; promises due by now only</w:t>
            </w:r>
          </w:p>
        </w:tc>
      </w:tr>
      <w:tr>
        <w:trPr>
          <w:cantSplit/>
        </w:trPr>
        <w:tc>
          <w:tcPr>
            <w:tcW w:type="dxa" w:w="2952"/>
            <w:vAlign w:val="center"/>
            <w:tcMar>
              <w:top w:w="70" w:type="dxa"/>
              <w:left w:w="70" w:type="dxa"/>
              <w:bottom w:w="70" w:type="dxa"/>
              <w:right w:w="70" w:type="dxa"/>
            </w:tcMar>
          </w:tcPr>
          <w:p>
            <w:pPr>
              <w:spacing w:after="40" w:before="40"/>
            </w:pPr>
            <w:r>
              <w:rPr>
                <w:rFonts w:ascii="Arial" w:hAnsi="Arial"/>
                <w:b w:val="0"/>
                <w:color w:val="000000"/>
                <w:sz w:val="22"/>
              </w:rPr>
              <w:t>Live agent and urgency need equals 1</w:t>
            </w:r>
          </w:p>
        </w:tc>
        <w:tc>
          <w:tcPr>
            <w:tcW w:type="dxa" w:w="6696"/>
            <w:vAlign w:val="center"/>
            <w:tcMar>
              <w:top w:w="70" w:type="dxa"/>
              <w:left w:w="70" w:type="dxa"/>
              <w:bottom w:w="70" w:type="dxa"/>
              <w:right w:w="70" w:type="dxa"/>
            </w:tcMar>
          </w:tcPr>
          <w:p>
            <w:pPr>
              <w:spacing w:after="40" w:before="40"/>
            </w:pPr>
            <w:r>
              <w:rPr>
                <w:rFonts w:ascii="Arial" w:hAnsi="Arial"/>
                <w:b w:val="0"/>
                <w:color w:val="000000"/>
                <w:sz w:val="22"/>
              </w:rPr>
              <w:t>agent_urgency5</w:t>
            </w:r>
          </w:p>
        </w:tc>
      </w:tr>
      <w:tr>
        <w:trPr>
          <w:cantSplit/>
        </w:trPr>
        <w:tc>
          <w:tcPr>
            <w:tcW w:type="dxa" w:w="2952"/>
            <w:vAlign w:val="center"/>
            <w:tcMar>
              <w:top w:w="70" w:type="dxa"/>
              <w:left w:w="70" w:type="dxa"/>
              <w:bottom w:w="70" w:type="dxa"/>
              <w:right w:w="70" w:type="dxa"/>
            </w:tcMar>
          </w:tcPr>
          <w:p>
            <w:pPr>
              <w:spacing w:after="40" w:before="40"/>
            </w:pPr>
            <w:r>
              <w:rPr>
                <w:rFonts w:ascii="Arial" w:hAnsi="Arial"/>
                <w:b w:val="0"/>
                <w:color w:val="000000"/>
                <w:sz w:val="22"/>
              </w:rPr>
              <w:t>used_ivr equals 1</w:t>
            </w:r>
          </w:p>
        </w:tc>
        <w:tc>
          <w:tcPr>
            <w:tcW w:type="dxa" w:w="6696"/>
            <w:vAlign w:val="center"/>
            <w:tcMar>
              <w:top w:w="70" w:type="dxa"/>
              <w:left w:w="70" w:type="dxa"/>
              <w:bottom w:w="70" w:type="dxa"/>
              <w:right w:w="70" w:type="dxa"/>
            </w:tcMar>
          </w:tcPr>
          <w:p>
            <w:pPr>
              <w:spacing w:after="40" w:before="40"/>
            </w:pPr>
            <w:r>
              <w:rPr>
                <w:rFonts w:ascii="Arial" w:hAnsi="Arial"/>
                <w:b w:val="0"/>
                <w:color w:val="000000"/>
                <w:sz w:val="22"/>
              </w:rPr>
              <w:t>ivr_availability5; ivr_response_speed5; ivr_information_accuracy5; ivr_ease5; retain existing IVR CSAT and clarity</w:t>
            </w:r>
          </w:p>
        </w:tc>
      </w:tr>
    </w:tbl>
    <w:p>
      <w:r>
        <w:t>Queue wait, total call time and agent overall ratings use CSAT 1 Very dissatisfied to 5 Very satisfied, with 99 Do not know. Ownership, promises kept, patience and urgency use agreement 1 Strongly disagree, 2 Disagree, 3 Neither agree nor disagree, 4 Agree, 5 Strongly agree; 98 Not applicable, 99 Do not know. Promises kept additionally allows 9 Not yet due or too early to tell, excluded from valid 1 to 5 bases, not failure. Preserve coherence with existing not yet due callbacks.</w:t>
      </w:r>
    </w:p>
    <w:p>
      <w:r>
        <w:t>agent_promise_made asks whether the agent made a specific promise about something that would happen after the call. urgency_need asks whether the respondent told the agent the request or problem needed urgent attention. They are not a general in call promise or an inferred urgent need.</w:t>
      </w:r>
    </w:p>
    <w:p>
      <w:r>
        <w:t>IVR performance uses 1 Very poor, 2 Poor, 3 Adequate, 4 Good, 5 Excellent; 98 Not applicable and 99 Do not know. All screens use 0 No, 1 Yes, 99 Do not know. Leave new call diagnostics blank on channel 2 to 4 records. Include all modules in fixture tests; they may be optional for separately specified real fieldwork.</w:t>
      </w:r>
    </w:p>
    <w:p>
      <w:pPr>
        <w:pStyle w:val="Heading1"/>
      </w:pPr>
      <w:r>
        <w:t>Retain the original metric rules</w:t>
      </w:r>
    </w:p>
    <w:p>
      <w:r>
        <w:t>CSAT top two is 4 to 5 among valid 1 to 5; NPS is percent 9 to 10 minus percent 0 to 6 among all valid 0 to 10. Continue intention top two is 4 to 5; switching risk uses raw 8 to 10, higher worse. Ease is mean 1 to 7 or percent 6 to 7. Do not combine satisfaction, performance, agreement and intensity just because their codes resemble each other.</w:t>
      </w:r>
    </w:p>
    <w:p>
      <w:r>
        <w:t>FCR requires a problem, full resolution and one contact, among problem cases with known resolution 1 to 3. Show task Yes No Pending. Exclude pending from FCR and not yet due from kept callbacks. Quality means require both domain items valid; full assurance and empathy are unavailable for self service. Keep staff, IVR and physical facility routes. Blanks, 98, 99, pending 9 and valid zeroes are distinct; minutes and digital seconds are different units.</w:t>
      </w:r>
    </w:p>
    <w:p>
      <w:pPr>
        <w:pStyle w:val="Heading1"/>
        <w:pageBreakBefore/>
      </w:pPr>
      <w:r>
        <w:t>Company channel and journey views</w:t>
      </w:r>
    </w:p>
    <w:p>
      <w:r>
        <w:t>Retain existing company, relationship detail, channel, loyalty and wave views using current components. Company measures count one person once. Label a channel filtered company score customers who used that channel. Show experience and distinct customer bases for multiple channels.</w:t>
      </w:r>
    </w:p>
    <w:p>
      <w:r>
        <w:t>Journey continuity uses journey_recent30=1 respondent rows. Show the independent task anchor, ordered journey_sequence, contacts, channel combination, digital mode, transfers, repeated information, status and journey CSAT. Never infer one journey from independent latest channel experiences or average their ratings into journey satisfaction. Show journey_completed among known final statuses 1 to 3 beside pending status 9 share among all recent journeys.</w:t>
      </w:r>
    </w:p>
    <w:p>
      <w:pPr>
        <w:pStyle w:val="Heading1"/>
      </w:pPr>
      <w:r>
        <w:t>Six emotions preference and staying</w:t>
      </w:r>
    </w:p>
    <w:p>
      <w:r>
        <w:t>Show reassured, valued, frustrated, anxious, angry and disappointed separately at channel and journey grain, with matching explanation text. New suffixes channel_angry5 and channel_disappointed5 apply to each latest experience row; journey_angry5 and journey_disappointed5 need a recent journey. Use 1 Not at all, 2 A little, 3 Moderately, 4 Very, 5 Extremely; 99 Do not know. Angry or disappointed 4 to 5 means high negative intensity, not favourable CSAT. Mixed emotions are valid; never create a net index or invent quotations.</w:t>
      </w:r>
    </w:p>
    <w:p>
      <w:r>
        <w:t>experience_preference5, each channel_preference5 and journey_preference5 measure agreement, not CSAT. Staying reasons are multiple response with exclusive None and Do not know and a primary reason selected from the answers. Preference and constraints can coexist; continuing use alone is not genuine loyalty.</w:t>
      </w:r>
    </w:p>
    <w:p>
      <w:pPr>
        <w:pStyle w:val="Heading1"/>
      </w:pPr>
      <w:r>
        <w:t>Paired competitor and supplemental samples</w:t>
      </w:r>
    </w:p>
    <w:p>
      <w:r>
        <w:t>Benchmark eligibility requires personal same task type alternative use within 30 days, a different provider, task match and two valid 1 to 5 ratings. Take the weighted mean of within person benchmark_gap5, main minus alternative, in scale points. Channel comparison additionally requires a single journey channel matching benchmark_channel. Never subtract independently filtered means. Show Not measured for ineligible cases, with bases and exclusions.</w:t>
      </w:r>
    </w:p>
    <w:p>
      <w:r>
        <w:t>Load optional Mobile_CSM_Noncustomer_Wave_N.xlsx from Noncustomers as Focal noncustomers, never as current customers. Enforce focal_company=1 (Vodacom) and current_focal_use=0 including secondary use. There are 500 separate anonymous respondents per wave with unit weights. Awareness gates consideration and expected service. No focal CSAT, NPS or experienced emotion may be derived. Alternative CSAT needs a personally used task, channel and valid recent window.</w:t>
      </w:r>
    </w:p>
    <w:p>
      <w:r>
        <w:t>Show future expectations and retrospective customer performance as separate profiles, not a paired expectations gap or pre and post change. Never pool the samples for market share or prevalence. Supplied text and planted data patterns are fictional; these are not actual provider findings.</w:t>
      </w:r>
    </w:p>
    <w:p>
      <w:pPr>
        <w:pStyle w:val="Heading1"/>
        <w:pageBreakBefore/>
      </w:pPr>
      <w:r>
        <w:t>Weights comparisons and exports</w:t>
      </w:r>
    </w:p>
    <w:p>
      <w:r>
        <w:t>Use one unchanged respondent weight for company and journey outcomes and once per person in a selected channel. Never divide by channels used or multiply by recalled contacts. Pooling Experiences rows changes the unit to latest customer channel experiences, with repeated people. Original channel=0 reference metrics use that pooled base. Show experience n and distinct customer n.</w:t>
      </w:r>
    </w:p>
    <w:p>
      <w:r>
        <w:t>Channel results from one person are dependent; do not apply independent sample tests. Inference must handle within person dependence and the design; weights only Kish effective n does not. Flag raw valid n below 50 and suppress inference below 30 as declared fixture rules. No causal effects, market shares, observed churn, licensed ACSI or original SERVQUAL claims are supported. Mobile MVNO provider codes are not independent infrastructure networks.</w:t>
      </w:r>
    </w:p>
    <w:p>
      <w:r>
        <w:t>Export grain, sample type, wave, provider, task and period filters, metric definition, raw valid n, weighted base, missing or pending counts and a synthetic data label. Apply every filter to eligible numerators and denominators together.</w:t>
      </w:r>
    </w:p>
    <w:p>
      <w:pPr>
        <w:pStyle w:val="Heading1"/>
      </w:pPr>
      <w:r>
        <w:t>Data acceptance tests</w:t>
      </w:r>
    </w:p>
    <w:p>
      <w:pPr>
        <w:pStyle w:val="ListBullet"/>
        <w:spacing w:after="80"/>
      </w:pPr>
      <w:r>
        <w:t>Check each sector wave: 1,000 unique Respondents keys, 100 company fields and 88 Experiences fields. Preserve every baseline 98 field company row and 71 field channel row. Verify the 13 shared fields and all supplied IDs, dates, weights, labels, codes, blanks and stored derivations. All_Waves must concatenate 3,000 Respondents rows and 4,576 Experiences rows exactly. Reverse comparison with the combined representation must recover identical measures and answers.</w:t>
      </w:r>
    </w:p>
    <w:tbl>
      <w:tblPr>
        <w:tblW w:type="auto" w:w="0"/>
        <w:jc w:val="center"/>
        <w:tblLayout w:type="fixed"/>
        <w:tblLook w:firstColumn="1" w:firstRow="1" w:lastColumn="0" w:lastRow="0" w:noHBand="0" w:noVBand="1" w:val="04A0"/>
      </w:tblPr>
      <w:tblGrid>
        <w:gridCol w:w="792"/>
        <w:gridCol w:w="1656"/>
        <w:gridCol w:w="3528"/>
        <w:gridCol w:w="3672"/>
      </w:tblGrid>
      <w:tr>
        <w:trPr>
          <w:cantSplit/>
          <w:tblHeader/>
        </w:trPr>
        <w:tc>
          <w:tcPr>
            <w:tcW w:type="dxa" w:w="792"/>
            <w:vAlign w:val="center"/>
            <w:tcMar>
              <w:top w:w="70" w:type="dxa"/>
              <w:left w:w="70" w:type="dxa"/>
              <w:bottom w:w="70" w:type="dxa"/>
              <w:right w:w="70" w:type="dxa"/>
            </w:tcMar>
            <w:shd w:fill="EDEDED"/>
          </w:tcPr>
          <w:p>
            <w:pPr>
              <w:spacing w:after="40" w:before="40"/>
            </w:pPr>
            <w:r>
              <w:rPr>
                <w:rFonts w:ascii="Arial" w:hAnsi="Arial"/>
                <w:b/>
                <w:color w:val="000000"/>
                <w:sz w:val="22"/>
              </w:rPr>
              <w:t>Wave</w:t>
            </w:r>
          </w:p>
        </w:tc>
        <w:tc>
          <w:tcPr>
            <w:tcW w:type="dxa" w:w="1656"/>
            <w:vAlign w:val="center"/>
            <w:tcMar>
              <w:top w:w="70" w:type="dxa"/>
              <w:left w:w="70" w:type="dxa"/>
              <w:bottom w:w="70" w:type="dxa"/>
              <w:right w:w="70" w:type="dxa"/>
            </w:tcMar>
            <w:shd w:fill="EDEDED"/>
          </w:tcPr>
          <w:p>
            <w:pPr>
              <w:spacing w:after="40" w:before="40"/>
            </w:pPr>
            <w:r>
              <w:rPr>
                <w:rFonts w:ascii="Arial" w:hAnsi="Arial"/>
                <w:b/>
                <w:color w:val="000000"/>
                <w:sz w:val="22"/>
              </w:rPr>
              <w:t>Customers</w:t>
            </w:r>
          </w:p>
        </w:tc>
        <w:tc>
          <w:tcPr>
            <w:tcW w:type="dxa" w:w="3528"/>
            <w:vAlign w:val="center"/>
            <w:tcMar>
              <w:top w:w="70" w:type="dxa"/>
              <w:left w:w="70" w:type="dxa"/>
              <w:bottom w:w="70" w:type="dxa"/>
              <w:right w:w="70" w:type="dxa"/>
            </w:tcMar>
            <w:shd w:fill="EDEDED"/>
          </w:tcPr>
          <w:p>
            <w:pPr>
              <w:spacing w:after="40" w:before="40"/>
            </w:pPr>
            <w:r>
              <w:rPr>
                <w:rFonts w:ascii="Arial" w:hAnsi="Arial"/>
                <w:b/>
                <w:color w:val="000000"/>
                <w:sz w:val="22"/>
              </w:rPr>
              <w:t>Experience rows</w:t>
            </w:r>
          </w:p>
        </w:tc>
        <w:tc>
          <w:tcPr>
            <w:tcW w:type="dxa" w:w="3672"/>
            <w:vAlign w:val="center"/>
            <w:tcMar>
              <w:top w:w="70" w:type="dxa"/>
              <w:left w:w="70" w:type="dxa"/>
              <w:bottom w:w="70" w:type="dxa"/>
              <w:right w:w="70" w:type="dxa"/>
            </w:tcMar>
            <w:shd w:fill="EDEDED"/>
          </w:tcPr>
          <w:p>
            <w:pPr>
              <w:spacing w:after="40" w:before="40"/>
            </w:pPr>
            <w:r>
              <w:rPr>
                <w:rFonts w:ascii="Arial" w:hAnsi="Arial"/>
                <w:b/>
                <w:color w:val="000000"/>
                <w:sz w:val="22"/>
              </w:rPr>
              <w:t>No channel customers</w:t>
            </w:r>
          </w:p>
        </w:tc>
      </w:tr>
      <w:tr>
        <w:trPr>
          <w:cantSplit/>
        </w:trPr>
        <w:tc>
          <w:tcPr>
            <w:tcW w:type="dxa" w:w="792"/>
            <w:vAlign w:val="center"/>
            <w:tcMar>
              <w:top w:w="70" w:type="dxa"/>
              <w:left w:w="70" w:type="dxa"/>
              <w:bottom w:w="70" w:type="dxa"/>
              <w:right w:w="70" w:type="dxa"/>
            </w:tcMar>
          </w:tcPr>
          <w:p>
            <w:pPr>
              <w:spacing w:after="40" w:before="40"/>
            </w:pPr>
            <w:r>
              <w:rPr>
                <w:rFonts w:ascii="Arial" w:hAnsi="Arial"/>
                <w:b w:val="0"/>
                <w:color w:val="000000"/>
                <w:sz w:val="22"/>
              </w:rPr>
              <w:t>1</w:t>
            </w:r>
          </w:p>
        </w:tc>
        <w:tc>
          <w:tcPr>
            <w:tcW w:type="dxa" w:w="1656"/>
            <w:vAlign w:val="center"/>
            <w:tcMar>
              <w:top w:w="70" w:type="dxa"/>
              <w:left w:w="70" w:type="dxa"/>
              <w:bottom w:w="70" w:type="dxa"/>
              <w:right w:w="70" w:type="dxa"/>
            </w:tcMar>
          </w:tcPr>
          <w:p>
            <w:pPr>
              <w:spacing w:after="40" w:before="40"/>
            </w:pPr>
            <w:r>
              <w:rPr>
                <w:rFonts w:ascii="Arial" w:hAnsi="Arial"/>
                <w:b w:val="0"/>
                <w:color w:val="000000"/>
                <w:sz w:val="22"/>
              </w:rPr>
              <w:t>1,000</w:t>
            </w:r>
          </w:p>
        </w:tc>
        <w:tc>
          <w:tcPr>
            <w:tcW w:type="dxa" w:w="3528"/>
            <w:vAlign w:val="center"/>
            <w:tcMar>
              <w:top w:w="70" w:type="dxa"/>
              <w:left w:w="70" w:type="dxa"/>
              <w:bottom w:w="70" w:type="dxa"/>
              <w:right w:w="70" w:type="dxa"/>
            </w:tcMar>
          </w:tcPr>
          <w:p>
            <w:pPr>
              <w:spacing w:after="40" w:before="40"/>
            </w:pPr>
            <w:r>
              <w:rPr>
                <w:rFonts w:ascii="Arial" w:hAnsi="Arial"/>
                <w:b w:val="0"/>
                <w:color w:val="000000"/>
                <w:sz w:val="22"/>
              </w:rPr>
              <w:t>1,498</w:t>
            </w:r>
          </w:p>
        </w:tc>
        <w:tc>
          <w:tcPr>
            <w:tcW w:type="dxa" w:w="3672"/>
            <w:vAlign w:val="center"/>
            <w:tcMar>
              <w:top w:w="70" w:type="dxa"/>
              <w:left w:w="70" w:type="dxa"/>
              <w:bottom w:w="70" w:type="dxa"/>
              <w:right w:w="70" w:type="dxa"/>
            </w:tcMar>
          </w:tcPr>
          <w:p>
            <w:pPr>
              <w:spacing w:after="40" w:before="40"/>
            </w:pPr>
            <w:r>
              <w:rPr>
                <w:rFonts w:ascii="Arial" w:hAnsi="Arial"/>
                <w:b w:val="0"/>
                <w:color w:val="000000"/>
                <w:sz w:val="22"/>
              </w:rPr>
              <w:t>120</w:t>
            </w:r>
          </w:p>
        </w:tc>
      </w:tr>
      <w:tr>
        <w:trPr>
          <w:cantSplit/>
        </w:trPr>
        <w:tc>
          <w:tcPr>
            <w:tcW w:type="dxa" w:w="792"/>
            <w:vAlign w:val="center"/>
            <w:tcMar>
              <w:top w:w="70" w:type="dxa"/>
              <w:left w:w="70" w:type="dxa"/>
              <w:bottom w:w="70" w:type="dxa"/>
              <w:right w:w="70" w:type="dxa"/>
            </w:tcMar>
          </w:tcPr>
          <w:p>
            <w:pPr>
              <w:spacing w:after="40" w:before="40"/>
            </w:pPr>
            <w:r>
              <w:rPr>
                <w:rFonts w:ascii="Arial" w:hAnsi="Arial"/>
                <w:b w:val="0"/>
                <w:color w:val="000000"/>
                <w:sz w:val="22"/>
              </w:rPr>
              <w:t>2</w:t>
            </w:r>
          </w:p>
        </w:tc>
        <w:tc>
          <w:tcPr>
            <w:tcW w:type="dxa" w:w="1656"/>
            <w:vAlign w:val="center"/>
            <w:tcMar>
              <w:top w:w="70" w:type="dxa"/>
              <w:left w:w="70" w:type="dxa"/>
              <w:bottom w:w="70" w:type="dxa"/>
              <w:right w:w="70" w:type="dxa"/>
            </w:tcMar>
          </w:tcPr>
          <w:p>
            <w:pPr>
              <w:spacing w:after="40" w:before="40"/>
            </w:pPr>
            <w:r>
              <w:rPr>
                <w:rFonts w:ascii="Arial" w:hAnsi="Arial"/>
                <w:b w:val="0"/>
                <w:color w:val="000000"/>
                <w:sz w:val="22"/>
              </w:rPr>
              <w:t>1,000</w:t>
            </w:r>
          </w:p>
        </w:tc>
        <w:tc>
          <w:tcPr>
            <w:tcW w:type="dxa" w:w="3528"/>
            <w:vAlign w:val="center"/>
            <w:tcMar>
              <w:top w:w="70" w:type="dxa"/>
              <w:left w:w="70" w:type="dxa"/>
              <w:bottom w:w="70" w:type="dxa"/>
              <w:right w:w="70" w:type="dxa"/>
            </w:tcMar>
          </w:tcPr>
          <w:p>
            <w:pPr>
              <w:spacing w:after="40" w:before="40"/>
            </w:pPr>
            <w:r>
              <w:rPr>
                <w:rFonts w:ascii="Arial" w:hAnsi="Arial"/>
                <w:b w:val="0"/>
                <w:color w:val="000000"/>
                <w:sz w:val="22"/>
              </w:rPr>
              <w:t>1,501</w:t>
            </w:r>
          </w:p>
        </w:tc>
        <w:tc>
          <w:tcPr>
            <w:tcW w:type="dxa" w:w="3672"/>
            <w:vAlign w:val="center"/>
            <w:tcMar>
              <w:top w:w="70" w:type="dxa"/>
              <w:left w:w="70" w:type="dxa"/>
              <w:bottom w:w="70" w:type="dxa"/>
              <w:right w:w="70" w:type="dxa"/>
            </w:tcMar>
          </w:tcPr>
          <w:p>
            <w:pPr>
              <w:spacing w:after="40" w:before="40"/>
            </w:pPr>
            <w:r>
              <w:rPr>
                <w:rFonts w:ascii="Arial" w:hAnsi="Arial"/>
                <w:b w:val="0"/>
                <w:color w:val="000000"/>
                <w:sz w:val="22"/>
              </w:rPr>
              <w:t>121</w:t>
            </w:r>
          </w:p>
        </w:tc>
      </w:tr>
      <w:tr>
        <w:trPr>
          <w:cantSplit/>
        </w:trPr>
        <w:tc>
          <w:tcPr>
            <w:tcW w:type="dxa" w:w="792"/>
            <w:vAlign w:val="center"/>
            <w:tcMar>
              <w:top w:w="70" w:type="dxa"/>
              <w:left w:w="70" w:type="dxa"/>
              <w:bottom w:w="70" w:type="dxa"/>
              <w:right w:w="70" w:type="dxa"/>
            </w:tcMar>
          </w:tcPr>
          <w:p>
            <w:pPr>
              <w:spacing w:after="40" w:before="40"/>
            </w:pPr>
            <w:r>
              <w:rPr>
                <w:rFonts w:ascii="Arial" w:hAnsi="Arial"/>
                <w:b w:val="0"/>
                <w:color w:val="000000"/>
                <w:sz w:val="22"/>
              </w:rPr>
              <w:t>3</w:t>
            </w:r>
          </w:p>
        </w:tc>
        <w:tc>
          <w:tcPr>
            <w:tcW w:type="dxa" w:w="1656"/>
            <w:vAlign w:val="center"/>
            <w:tcMar>
              <w:top w:w="70" w:type="dxa"/>
              <w:left w:w="70" w:type="dxa"/>
              <w:bottom w:w="70" w:type="dxa"/>
              <w:right w:w="70" w:type="dxa"/>
            </w:tcMar>
          </w:tcPr>
          <w:p>
            <w:pPr>
              <w:spacing w:after="40" w:before="40"/>
            </w:pPr>
            <w:r>
              <w:rPr>
                <w:rFonts w:ascii="Arial" w:hAnsi="Arial"/>
                <w:b w:val="0"/>
                <w:color w:val="000000"/>
                <w:sz w:val="22"/>
              </w:rPr>
              <w:t>1,000</w:t>
            </w:r>
          </w:p>
        </w:tc>
        <w:tc>
          <w:tcPr>
            <w:tcW w:type="dxa" w:w="3528"/>
            <w:vAlign w:val="center"/>
            <w:tcMar>
              <w:top w:w="70" w:type="dxa"/>
              <w:left w:w="70" w:type="dxa"/>
              <w:bottom w:w="70" w:type="dxa"/>
              <w:right w:w="70" w:type="dxa"/>
            </w:tcMar>
          </w:tcPr>
          <w:p>
            <w:pPr>
              <w:spacing w:after="40" w:before="40"/>
            </w:pPr>
            <w:r>
              <w:rPr>
                <w:rFonts w:ascii="Arial" w:hAnsi="Arial"/>
                <w:b w:val="0"/>
                <w:color w:val="000000"/>
                <w:sz w:val="22"/>
              </w:rPr>
              <w:t>1,577</w:t>
            </w:r>
          </w:p>
        </w:tc>
        <w:tc>
          <w:tcPr>
            <w:tcW w:type="dxa" w:w="3672"/>
            <w:vAlign w:val="center"/>
            <w:tcMar>
              <w:top w:w="70" w:type="dxa"/>
              <w:left w:w="70" w:type="dxa"/>
              <w:bottom w:w="70" w:type="dxa"/>
              <w:right w:w="70" w:type="dxa"/>
            </w:tcMar>
          </w:tcPr>
          <w:p>
            <w:pPr>
              <w:spacing w:after="40" w:before="40"/>
            </w:pPr>
            <w:r>
              <w:rPr>
                <w:rFonts w:ascii="Arial" w:hAnsi="Arial"/>
                <w:b w:val="0"/>
                <w:color w:val="000000"/>
                <w:sz w:val="22"/>
              </w:rPr>
              <w:t>99</w:t>
            </w:r>
          </w:p>
        </w:tc>
      </w:tr>
    </w:tbl>
    <w:p>
      <w:pPr>
        <w:pStyle w:val="ListBullet"/>
        <w:spacing w:after="80"/>
      </w:pPr>
      <w:r>
        <w:t>Test no channel, one and four used channels, app and website, recalled counts exceeding experience records, IVR users and nonusers, zero queue wait, all live agent gates, promise and urgency screens, first transfer routing and promises not yet due. Include a future IVR only route test without changing existing calls.</w:t>
      </w:r>
    </w:p>
    <w:p>
      <w:pPr>
        <w:pStyle w:val="ListBullet"/>
        <w:spacing w:after="80"/>
      </w:pPr>
      <w:r>
        <w:t>Test absent and pending journeys, ordered paths, all six mixed emotions, exclusive staying answers, selected primary reasons, noncomparable competitor tasks or channels, 98, 99, blanks, valid zeroes, low bases and unaware noncustomers. Missing optional JSON must not block import. Validate new synthetic fields separately from source preservation.</w:t>
      </w:r>
    </w:p>
    <w:p>
      <w:pPr>
        <w:pStyle w:val="Heading1"/>
      </w:pPr>
      <w:r>
        <w:t>Application acceptance after authorised implementation</w:t>
      </w:r>
    </w:p>
    <w:p>
      <w:r>
        <w:t>Run validators and preservation checks, then compare actual app aggregates with retained references: unrounded percentages and scale points within 0.000001, one decimal displays within 0.05. Fixture checks alone do not establish app acceptance. Verify existing view regressions, filter bases, exports, error states and unchanged font, layout, navigation and sole #2563eb accent in the target app. Do not claim completion before these pass.</w:t>
      </w:r>
    </w:p>
    <w:p>
      <w:r>
        <w:t>Production code execution, deployment, brand list changes, recruitment and communication need separate authorisation. This pack supplies written instructions only.</w:t>
      </w:r>
    </w:p>
    <w:sectPr w:rsidR="00FC693F" w:rsidRPr="0006063C" w:rsidSect="00034616">
      <w:footerReference w:type="default" r:id="rId9"/>
      <w:pgSz w:w="11909" w:h="16834"/>
      <w:pgMar w:top="1008" w:right="1094" w:bottom="1008" w:left="1094"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00000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Arial" w:hAnsi="Arial"/>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100" w:line="252" w:lineRule="auto"/>
      <w:outlineLvl w:val="0"/>
    </w:pPr>
    <w:rPr>
      <w:rFonts w:asciiTheme="majorHAnsi" w:eastAsiaTheme="majorEastAsia" w:hAnsiTheme="majorHAnsi" w:cstheme="majorBidi" w:ascii="Arial" w:hAnsi="Arial"/>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180" w:after="100" w:line="252" w:lineRule="auto"/>
      <w:outlineLvl w:val="1"/>
    </w:pPr>
    <w:rPr>
      <w:rFonts w:asciiTheme="majorHAnsi" w:eastAsiaTheme="majorEastAsia" w:hAnsiTheme="majorHAnsi" w:cstheme="majorBidi" w:ascii="Arial" w:hAnsi="Arial"/>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00" w:line="252" w:lineRule="auto" w:before="0"/>
      <w:contextualSpacing/>
    </w:pPr>
    <w:rPr>
      <w:rFonts w:asciiTheme="majorHAnsi" w:eastAsiaTheme="majorEastAsia" w:hAnsiTheme="majorHAnsi" w:cstheme="majorBidi" w:ascii="Arial" w:hAnsi="Arial"/>
      <w:b/>
      <w:i w:val="0"/>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52" w:lineRule="auto" w:after="240"/>
    </w:pPr>
    <w:rPr>
      <w:rFonts w:asciiTheme="majorHAnsi" w:eastAsiaTheme="majorEastAsia" w:hAnsiTheme="majorHAnsi" w:cstheme="majorBidi"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52" w:lineRule="auto" w:after="120"/>
      <w:contextualSpacing/>
    </w:pPr>
    <w:rPr>
      <w:rFonts w:ascii="Arial" w:hAnsi="Arial"/>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252" w:lineRule="auto" w:after="120"/>
      <w:contextualSpacing/>
    </w:pPr>
    <w:rPr>
      <w:rFonts w:ascii="Arial" w:hAnsi="Arial"/>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 African mobile telecoms Claude combined implementation instructions</dc:title>
  <dc:subject>Separate company and channel customer satisfaction measurement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