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67AA5" w14:textId="77777777" w:rsidR="00AF37B6" w:rsidRPr="00AF37B6" w:rsidRDefault="00AF37B6" w:rsidP="00AF37B6">
      <w:pPr>
        <w:shd w:val="clear" w:color="auto" w:fill="FFFFFF"/>
        <w:spacing w:after="48" w:line="240" w:lineRule="auto"/>
        <w:rPr>
          <w:rFonts w:ascii="Arial" w:eastAsia="Times New Roman" w:hAnsi="Arial" w:cs="Arial"/>
          <w:b/>
          <w:bCs/>
          <w:color w:val="000000"/>
          <w:sz w:val="36"/>
          <w:szCs w:val="36"/>
          <w:lang w:eastAsia="de-CH"/>
        </w:rPr>
      </w:pPr>
      <w:proofErr w:type="spellStart"/>
      <w:r w:rsidRPr="00AF37B6">
        <w:rPr>
          <w:rFonts w:ascii="Arial" w:eastAsia="Times New Roman" w:hAnsi="Arial" w:cs="Arial"/>
          <w:b/>
          <w:bCs/>
          <w:color w:val="000000"/>
          <w:sz w:val="36"/>
          <w:szCs w:val="36"/>
          <w:lang w:eastAsia="de-CH"/>
        </w:rPr>
        <w:t>Sinovial</w:t>
      </w:r>
      <w:proofErr w:type="spellEnd"/>
      <w:r w:rsidRPr="00AF37B6">
        <w:rPr>
          <w:rFonts w:ascii="Arial" w:eastAsia="Times New Roman" w:hAnsi="Arial" w:cs="Arial"/>
          <w:b/>
          <w:bCs/>
          <w:color w:val="000000"/>
          <w:sz w:val="36"/>
          <w:szCs w:val="36"/>
          <w:lang w:eastAsia="de-CH"/>
        </w:rPr>
        <w:t>® 0,8%</w:t>
      </w:r>
    </w:p>
    <w:p w14:paraId="0A7BE2F0" w14:textId="77777777" w:rsidR="00AF37B6" w:rsidRPr="00AF37B6" w:rsidRDefault="00AF37B6" w:rsidP="00AF37B6">
      <w:pPr>
        <w:shd w:val="clear" w:color="auto" w:fill="FFFFFF"/>
        <w:spacing w:after="0" w:line="240" w:lineRule="auto"/>
        <w:rPr>
          <w:rFonts w:ascii="Arial" w:eastAsia="Times New Roman" w:hAnsi="Arial" w:cs="Arial"/>
          <w:b/>
          <w:bCs/>
          <w:i/>
          <w:iCs/>
          <w:color w:val="000000"/>
          <w:sz w:val="24"/>
          <w:szCs w:val="24"/>
          <w:lang w:eastAsia="de-CH"/>
        </w:rPr>
      </w:pPr>
      <w:r w:rsidRPr="00AF37B6">
        <w:rPr>
          <w:rFonts w:ascii="Arial" w:eastAsia="Times New Roman" w:hAnsi="Arial" w:cs="Arial"/>
          <w:b/>
          <w:bCs/>
          <w:i/>
          <w:iCs/>
          <w:color w:val="000000"/>
          <w:sz w:val="24"/>
          <w:szCs w:val="24"/>
          <w:lang w:eastAsia="de-CH"/>
        </w:rPr>
        <w:t>  </w:t>
      </w:r>
    </w:p>
    <w:p w14:paraId="4DBDC03E" w14:textId="77777777" w:rsidR="00AF37B6" w:rsidRPr="00AF37B6" w:rsidRDefault="00AF37B6" w:rsidP="00AF37B6">
      <w:pPr>
        <w:shd w:val="clear" w:color="auto" w:fill="FFFFFF"/>
        <w:spacing w:line="240" w:lineRule="auto"/>
        <w:jc w:val="right"/>
        <w:rPr>
          <w:rFonts w:ascii="Arial" w:eastAsia="Times New Roman" w:hAnsi="Arial" w:cs="Arial"/>
          <w:b/>
          <w:bCs/>
          <w:i/>
          <w:iCs/>
          <w:color w:val="000000"/>
          <w:sz w:val="24"/>
          <w:szCs w:val="24"/>
          <w:lang w:eastAsia="de-CH"/>
        </w:rPr>
      </w:pPr>
      <w:r w:rsidRPr="00AF37B6">
        <w:rPr>
          <w:rFonts w:ascii="Arial" w:eastAsia="Times New Roman" w:hAnsi="Arial" w:cs="Arial"/>
          <w:b/>
          <w:bCs/>
          <w:i/>
          <w:iCs/>
          <w:color w:val="000000"/>
          <w:sz w:val="24"/>
          <w:szCs w:val="24"/>
          <w:lang w:eastAsia="de-CH"/>
        </w:rPr>
        <w:t>IBSA</w:t>
      </w:r>
    </w:p>
    <w:p w14:paraId="0384E710" w14:textId="77777777" w:rsidR="00AF37B6" w:rsidRPr="00AF37B6" w:rsidRDefault="00AF37B6" w:rsidP="00AF37B6">
      <w:pPr>
        <w:shd w:val="clear" w:color="auto" w:fill="FFFFFF"/>
        <w:spacing w:after="0" w:line="240" w:lineRule="auto"/>
        <w:rPr>
          <w:rFonts w:ascii="Arial" w:eastAsia="Times New Roman" w:hAnsi="Arial" w:cs="Arial"/>
          <w:i/>
          <w:iCs/>
          <w:color w:val="000000"/>
          <w:sz w:val="24"/>
          <w:szCs w:val="24"/>
          <w:lang w:eastAsia="de-CH"/>
        </w:rPr>
      </w:pPr>
      <w:r w:rsidRPr="00AF37B6">
        <w:rPr>
          <w:rFonts w:ascii="Arial" w:eastAsia="Times New Roman" w:hAnsi="Arial" w:cs="Arial"/>
          <w:i/>
          <w:iCs/>
          <w:color w:val="000000"/>
          <w:sz w:val="24"/>
          <w:szCs w:val="24"/>
          <w:lang w:eastAsia="de-CH"/>
        </w:rPr>
        <w:t>Medizinprodukt</w:t>
      </w:r>
    </w:p>
    <w:p w14:paraId="1CA110CE"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0" w:name="7000"/>
      <w:r w:rsidRPr="00AF37B6">
        <w:rPr>
          <w:rFonts w:ascii="Arial" w:eastAsia="Times New Roman" w:hAnsi="Arial" w:cs="Arial"/>
          <w:b/>
          <w:bCs/>
          <w:i/>
          <w:iCs/>
          <w:color w:val="000000"/>
          <w:sz w:val="24"/>
          <w:szCs w:val="24"/>
          <w:lang w:eastAsia="de-CH"/>
        </w:rPr>
        <w:t>Zusammensetzung</w:t>
      </w:r>
    </w:p>
    <w:bookmarkEnd w:id="0"/>
    <w:p w14:paraId="6A0E66F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i/>
          <w:iCs/>
          <w:color w:val="000000"/>
          <w:sz w:val="24"/>
          <w:szCs w:val="24"/>
          <w:lang w:eastAsia="de-CH"/>
        </w:rPr>
        <w:t>1 vorgefüllte 2,25 ml-Einweg-Fertigspritze aus Glas</w:t>
      </w:r>
      <w:r w:rsidRPr="00AF37B6">
        <w:rPr>
          <w:rFonts w:ascii="Arial" w:eastAsia="Times New Roman" w:hAnsi="Arial" w:cs="Arial"/>
          <w:color w:val="000000"/>
          <w:sz w:val="24"/>
          <w:szCs w:val="24"/>
          <w:lang w:eastAsia="de-CH"/>
        </w:rPr>
        <w:t xml:space="preserve"> enthält: 16 mg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-/Natriumsalz in 2 ml gepufferter physiologischer Lösung.</w:t>
      </w:r>
    </w:p>
    <w:p w14:paraId="4590A0B7"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Der Inhalt der Spritzen ist steril und pyrogenfrei.</w:t>
      </w:r>
    </w:p>
    <w:p w14:paraId="587272E8"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 w:name="7100"/>
      <w:r w:rsidRPr="00AF37B6">
        <w:rPr>
          <w:rFonts w:ascii="Arial" w:eastAsia="Times New Roman" w:hAnsi="Arial" w:cs="Arial"/>
          <w:b/>
          <w:bCs/>
          <w:i/>
          <w:iCs/>
          <w:color w:val="000000"/>
          <w:sz w:val="24"/>
          <w:szCs w:val="24"/>
          <w:lang w:eastAsia="de-CH"/>
        </w:rPr>
        <w:t>Indikationen/Anwendungsmöglichkeiten</w:t>
      </w:r>
    </w:p>
    <w:bookmarkEnd w:id="1"/>
    <w:p w14:paraId="39AF13B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Schmerzen oder eingeschränkte Beweglichkeit bei degenerativen oder traumatisch bedingten Erkrankungen oder Gelenksveränderungen.</w:t>
      </w:r>
    </w:p>
    <w:p w14:paraId="0C94EAE4"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eignet sich als Gelenkflüssigkeitsersatz für die Wiederherstellung der physiologischen und </w:t>
      </w:r>
      <w:proofErr w:type="spellStart"/>
      <w:r w:rsidRPr="00AF37B6">
        <w:rPr>
          <w:rFonts w:ascii="Arial" w:eastAsia="Times New Roman" w:hAnsi="Arial" w:cs="Arial"/>
          <w:color w:val="000000"/>
          <w:sz w:val="24"/>
          <w:szCs w:val="24"/>
          <w:lang w:eastAsia="de-CH"/>
        </w:rPr>
        <w:t>rheologischen</w:t>
      </w:r>
      <w:proofErr w:type="spellEnd"/>
      <w:r w:rsidRPr="00AF37B6">
        <w:rPr>
          <w:rFonts w:ascii="Arial" w:eastAsia="Times New Roman" w:hAnsi="Arial" w:cs="Arial"/>
          <w:color w:val="000000"/>
          <w:sz w:val="24"/>
          <w:szCs w:val="24"/>
          <w:lang w:eastAsia="de-CH"/>
        </w:rPr>
        <w:t xml:space="preserve"> Bedingungen </w:t>
      </w:r>
      <w:proofErr w:type="spellStart"/>
      <w:r w:rsidRPr="00AF37B6">
        <w:rPr>
          <w:rFonts w:ascii="Arial" w:eastAsia="Times New Roman" w:hAnsi="Arial" w:cs="Arial"/>
          <w:color w:val="000000"/>
          <w:sz w:val="24"/>
          <w:szCs w:val="24"/>
          <w:lang w:eastAsia="de-CH"/>
        </w:rPr>
        <w:t>arthrotischer</w:t>
      </w:r>
      <w:proofErr w:type="spellEnd"/>
      <w:r w:rsidRPr="00AF37B6">
        <w:rPr>
          <w:rFonts w:ascii="Arial" w:eastAsia="Times New Roman" w:hAnsi="Arial" w:cs="Arial"/>
          <w:color w:val="000000"/>
          <w:sz w:val="24"/>
          <w:szCs w:val="24"/>
          <w:lang w:eastAsia="de-CH"/>
        </w:rPr>
        <w:t xml:space="preserve"> Gelenke.</w:t>
      </w:r>
    </w:p>
    <w:p w14:paraId="4803ED44"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2" w:name="7150"/>
      <w:r w:rsidRPr="00AF37B6">
        <w:rPr>
          <w:rFonts w:ascii="Arial" w:eastAsia="Times New Roman" w:hAnsi="Arial" w:cs="Arial"/>
          <w:b/>
          <w:bCs/>
          <w:i/>
          <w:iCs/>
          <w:color w:val="000000"/>
          <w:sz w:val="24"/>
          <w:szCs w:val="24"/>
          <w:lang w:eastAsia="de-CH"/>
        </w:rPr>
        <w:t>Dosierung/Anwendung</w:t>
      </w:r>
    </w:p>
    <w:bookmarkEnd w:id="2"/>
    <w:p w14:paraId="59B22BA2"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Studienresultate zeigen, dass 5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-Injektionen in Abständen von je einer Woche eine Abnahme von Schmerz und Schwellung sowie eine Funktionsverbesserung bewirken, die bis zu 24 Wochen anhalten können.</w:t>
      </w:r>
    </w:p>
    <w:p w14:paraId="2340CF3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Besserung stellt sich rasch ein. Schon mit der ersten Injektion nimmt der globale WOMAC-Index ab, und bereits mit der dritten Injektion wird die Abnahme statistisch signifikant.</w:t>
      </w:r>
    </w:p>
    <w:p w14:paraId="0859C035"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Ein allenfalls vorhandener Gelenkerguss ist vor der Injektion von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abzusaugen.</w:t>
      </w:r>
    </w:p>
    <w:p w14:paraId="762F5B36"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Der mitgelieferte Halter ist so auf den Spritzenanschlussring anzubringen, dass er festsitzt.</w:t>
      </w:r>
    </w:p>
    <w:p w14:paraId="11CB1C08"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Bei der Entfernung der Spritzenkappe speziell darauf achten, die Öffnung der Einwegspritze nicht zu berühren.</w:t>
      </w:r>
    </w:p>
    <w:p w14:paraId="37FF2AA9"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Eine Nadel mit geeigneter </w:t>
      </w:r>
      <w:proofErr w:type="spellStart"/>
      <w:r w:rsidRPr="00AF37B6">
        <w:rPr>
          <w:rFonts w:ascii="Arial" w:eastAsia="Times New Roman" w:hAnsi="Arial" w:cs="Arial"/>
          <w:color w:val="000000"/>
          <w:sz w:val="24"/>
          <w:szCs w:val="24"/>
          <w:lang w:eastAsia="de-CH"/>
        </w:rPr>
        <w:t>Kanülengrösse</w:t>
      </w:r>
      <w:proofErr w:type="spellEnd"/>
      <w:r w:rsidRPr="00AF37B6">
        <w:rPr>
          <w:rFonts w:ascii="Arial" w:eastAsia="Times New Roman" w:hAnsi="Arial" w:cs="Arial"/>
          <w:color w:val="000000"/>
          <w:sz w:val="24"/>
          <w:szCs w:val="24"/>
          <w:lang w:eastAsia="de-CH"/>
        </w:rPr>
        <w:t xml:space="preserve"> zwischen 18 und 22 G verwenden. Die Nadel fest in den </w:t>
      </w:r>
      <w:proofErr w:type="spellStart"/>
      <w:r w:rsidRPr="00AF37B6">
        <w:rPr>
          <w:rFonts w:ascii="Arial" w:eastAsia="Times New Roman" w:hAnsi="Arial" w:cs="Arial"/>
          <w:color w:val="000000"/>
          <w:sz w:val="24"/>
          <w:szCs w:val="24"/>
          <w:lang w:eastAsia="de-CH"/>
        </w:rPr>
        <w:t>Luer</w:t>
      </w:r>
      <w:proofErr w:type="spellEnd"/>
      <w:r w:rsidRPr="00AF37B6">
        <w:rPr>
          <w:rFonts w:ascii="Arial" w:eastAsia="Times New Roman" w:hAnsi="Arial" w:cs="Arial"/>
          <w:color w:val="000000"/>
          <w:sz w:val="24"/>
          <w:szCs w:val="24"/>
          <w:lang w:eastAsia="de-CH"/>
        </w:rPr>
        <w:t>-Gewindeanschluss der Einwegspritze schrauben, um eine dichte Verbindung sicherzustellen und damit ein Austreten von Flüssigkeit zu verhindern.</w:t>
      </w:r>
    </w:p>
    <w:p w14:paraId="5314615F"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bei Raumtemperatur und unter strikter Wahrung von Asepsis injizieren.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ist nur in den Gelenkspalt zu injizieren.</w:t>
      </w:r>
    </w:p>
    <w:p w14:paraId="4FE85A65"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intraartikuläre Injektion darf nur von einem Arzt vorgenommen werden.</w:t>
      </w:r>
    </w:p>
    <w:p w14:paraId="1FE0A936"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3" w:name="7200"/>
      <w:r w:rsidRPr="00AF37B6">
        <w:rPr>
          <w:rFonts w:ascii="Arial" w:eastAsia="Times New Roman" w:hAnsi="Arial" w:cs="Arial"/>
          <w:b/>
          <w:bCs/>
          <w:i/>
          <w:iCs/>
          <w:color w:val="000000"/>
          <w:sz w:val="24"/>
          <w:szCs w:val="24"/>
          <w:lang w:eastAsia="de-CH"/>
        </w:rPr>
        <w:t>Kontraindikationen</w:t>
      </w:r>
    </w:p>
    <w:bookmarkEnd w:id="3"/>
    <w:p w14:paraId="08C85244"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darf nicht in ein infiziertes oder stark entzündetes Gelenk injiziert oder bei Patienten mit einer Hauterkrankung oder einer Infektion im Bereich der Injektionsstelle angewendet werden.</w:t>
      </w:r>
    </w:p>
    <w:p w14:paraId="08089F6C"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4" w:name="7250"/>
      <w:r w:rsidRPr="00AF37B6">
        <w:rPr>
          <w:rFonts w:ascii="Arial" w:eastAsia="Times New Roman" w:hAnsi="Arial" w:cs="Arial"/>
          <w:b/>
          <w:bCs/>
          <w:i/>
          <w:iCs/>
          <w:color w:val="000000"/>
          <w:sz w:val="24"/>
          <w:szCs w:val="24"/>
          <w:lang w:eastAsia="de-CH"/>
        </w:rPr>
        <w:t>Warnhinweise und Vorsichtsmassnahmen</w:t>
      </w:r>
    </w:p>
    <w:bookmarkEnd w:id="4"/>
    <w:p w14:paraId="4DD8A5D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Injektionsstelle muss in einem Bereich gesunder Haut liegen.</w:t>
      </w:r>
    </w:p>
    <w:p w14:paraId="0B5FC889"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Nicht intravaskulär injizieren, nicht ausserhalb des Gelenkspaltes injizieren, nicht ins </w:t>
      </w:r>
      <w:proofErr w:type="spellStart"/>
      <w:r w:rsidRPr="00AF37B6">
        <w:rPr>
          <w:rFonts w:ascii="Arial" w:eastAsia="Times New Roman" w:hAnsi="Arial" w:cs="Arial"/>
          <w:color w:val="000000"/>
          <w:sz w:val="24"/>
          <w:szCs w:val="24"/>
          <w:lang w:eastAsia="de-CH"/>
        </w:rPr>
        <w:t>Synovialgewebe</w:t>
      </w:r>
      <w:proofErr w:type="spellEnd"/>
      <w:r w:rsidRPr="00AF37B6">
        <w:rPr>
          <w:rFonts w:ascii="Arial" w:eastAsia="Times New Roman" w:hAnsi="Arial" w:cs="Arial"/>
          <w:color w:val="000000"/>
          <w:sz w:val="24"/>
          <w:szCs w:val="24"/>
          <w:lang w:eastAsia="de-CH"/>
        </w:rPr>
        <w:t xml:space="preserve"> oder in die Gelenkkapsel injizieren.</w:t>
      </w:r>
    </w:p>
    <w:p w14:paraId="749CDA8D"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lastRenderedPageBreak/>
        <w:t xml:space="preserve">Bei einem schwerwiegenden intraartikulären Erguss sollte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nicht angewendet werden.</w:t>
      </w:r>
    </w:p>
    <w:p w14:paraId="40794890"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Nach der intraartikulären Injektion sollte dem Patienten empfohlen werden, jegliche körperliche Anstrengung zu unterlassen und seine normalen Aktivitäten erst nach einigen Tagen wieder aufzunehmen.</w:t>
      </w:r>
    </w:p>
    <w:p w14:paraId="07E1812D"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sollte nicht mit Desinfektionsmitteln wie quartäre Ammoniumverbindungen oder </w:t>
      </w:r>
      <w:proofErr w:type="spellStart"/>
      <w:r w:rsidRPr="00AF37B6">
        <w:rPr>
          <w:rFonts w:ascii="Arial" w:eastAsia="Times New Roman" w:hAnsi="Arial" w:cs="Arial"/>
          <w:color w:val="000000"/>
          <w:sz w:val="24"/>
          <w:szCs w:val="24"/>
          <w:lang w:eastAsia="de-CH"/>
        </w:rPr>
        <w:t>Chlorhexidin</w:t>
      </w:r>
      <w:proofErr w:type="spellEnd"/>
      <w:r w:rsidRPr="00AF37B6">
        <w:rPr>
          <w:rFonts w:ascii="Arial" w:eastAsia="Times New Roman" w:hAnsi="Arial" w:cs="Arial"/>
          <w:color w:val="000000"/>
          <w:sz w:val="24"/>
          <w:szCs w:val="24"/>
          <w:lang w:eastAsia="de-CH"/>
        </w:rPr>
        <w:t xml:space="preserve"> vermischt werden, da die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 xml:space="preserve"> in der Lösung präzipitieren könnte.</w:t>
      </w:r>
    </w:p>
    <w:p w14:paraId="71254C0C"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5" w:name="7300"/>
      <w:r w:rsidRPr="00AF37B6">
        <w:rPr>
          <w:rFonts w:ascii="Arial" w:eastAsia="Times New Roman" w:hAnsi="Arial" w:cs="Arial"/>
          <w:b/>
          <w:bCs/>
          <w:i/>
          <w:iCs/>
          <w:color w:val="000000"/>
          <w:sz w:val="24"/>
          <w:szCs w:val="24"/>
          <w:lang w:eastAsia="de-CH"/>
        </w:rPr>
        <w:t>Interaktionen</w:t>
      </w:r>
    </w:p>
    <w:bookmarkEnd w:id="5"/>
    <w:p w14:paraId="3EE36B1C"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Bis heute sind keine Interaktionen von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mit anderen Arzneimitteln bekannt.</w:t>
      </w:r>
    </w:p>
    <w:p w14:paraId="3590E9AA"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6" w:name="7450"/>
      <w:r w:rsidRPr="00AF37B6">
        <w:rPr>
          <w:rFonts w:ascii="Arial" w:eastAsia="Times New Roman" w:hAnsi="Arial" w:cs="Arial"/>
          <w:b/>
          <w:bCs/>
          <w:i/>
          <w:iCs/>
          <w:color w:val="000000"/>
          <w:sz w:val="24"/>
          <w:szCs w:val="24"/>
          <w:lang w:eastAsia="de-CH"/>
        </w:rPr>
        <w:t>Unerwünschte Wirkungen</w:t>
      </w:r>
    </w:p>
    <w:bookmarkEnd w:id="6"/>
    <w:p w14:paraId="1360E618"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kann lokal zu unerwünschten Wirkungen führen. Bei der Anwendung von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können an der Einstichstelle Begleiterscheinungen wie Schmerzen, Hitzegefühl, Rötungen oder Schwellungen auftreten. Solche Begleiterscheinungen lassen sich durch Auflegen eines Eisbeutels auf das behandelte Gelenk mildern. Sie klingen in der Regel nach kurzer Zeit wieder ab.</w:t>
      </w:r>
    </w:p>
    <w:p w14:paraId="0767D733"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Der Arzt sollte </w:t>
      </w:r>
      <w:proofErr w:type="gramStart"/>
      <w:r w:rsidRPr="00AF37B6">
        <w:rPr>
          <w:rFonts w:ascii="Arial" w:eastAsia="Times New Roman" w:hAnsi="Arial" w:cs="Arial"/>
          <w:color w:val="000000"/>
          <w:sz w:val="24"/>
          <w:szCs w:val="24"/>
          <w:lang w:eastAsia="de-CH"/>
        </w:rPr>
        <w:t>sicher stellen</w:t>
      </w:r>
      <w:proofErr w:type="gramEnd"/>
      <w:r w:rsidRPr="00AF37B6">
        <w:rPr>
          <w:rFonts w:ascii="Arial" w:eastAsia="Times New Roman" w:hAnsi="Arial" w:cs="Arial"/>
          <w:color w:val="000000"/>
          <w:sz w:val="24"/>
          <w:szCs w:val="24"/>
          <w:lang w:eastAsia="de-CH"/>
        </w:rPr>
        <w:t>, dass ihn seine Patienten über allfällig später auftretende unerwünschte Wirkungen informieren.</w:t>
      </w:r>
    </w:p>
    <w:p w14:paraId="35B78703"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7" w:name="7550"/>
      <w:r w:rsidRPr="00AF37B6">
        <w:rPr>
          <w:rFonts w:ascii="Arial" w:eastAsia="Times New Roman" w:hAnsi="Arial" w:cs="Arial"/>
          <w:b/>
          <w:bCs/>
          <w:i/>
          <w:iCs/>
          <w:color w:val="000000"/>
          <w:sz w:val="24"/>
          <w:szCs w:val="24"/>
          <w:lang w:eastAsia="de-CH"/>
        </w:rPr>
        <w:t>Eigenschaften/Wirkungen</w:t>
      </w:r>
    </w:p>
    <w:bookmarkEnd w:id="7"/>
    <w:p w14:paraId="5CC33C81"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ist eine gepufferte physiologische Lösung mit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 xml:space="preserve">-Natriumsalz, das ihr </w:t>
      </w:r>
      <w:proofErr w:type="spellStart"/>
      <w:r w:rsidRPr="00AF37B6">
        <w:rPr>
          <w:rFonts w:ascii="Arial" w:eastAsia="Times New Roman" w:hAnsi="Arial" w:cs="Arial"/>
          <w:color w:val="000000"/>
          <w:sz w:val="24"/>
          <w:szCs w:val="24"/>
          <w:lang w:eastAsia="de-CH"/>
        </w:rPr>
        <w:t>viscoelastische</w:t>
      </w:r>
      <w:proofErr w:type="spellEnd"/>
      <w:r w:rsidRPr="00AF37B6">
        <w:rPr>
          <w:rFonts w:ascii="Arial" w:eastAsia="Times New Roman" w:hAnsi="Arial" w:cs="Arial"/>
          <w:color w:val="000000"/>
          <w:sz w:val="24"/>
          <w:szCs w:val="24"/>
          <w:lang w:eastAsia="de-CH"/>
        </w:rPr>
        <w:t xml:space="preserve"> Eigenschaften verleiht.</w:t>
      </w:r>
    </w:p>
    <w:p w14:paraId="48F50677"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enthält 0,8% hochgereinigtes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w:t>
      </w:r>
      <w:r w:rsidRPr="00AF37B6">
        <w:rPr>
          <w:rFonts w:ascii="Arial" w:eastAsia="Times New Roman" w:hAnsi="Arial" w:cs="Arial"/>
          <w:color w:val="000000"/>
          <w:sz w:val="24"/>
          <w:szCs w:val="24"/>
          <w:lang w:eastAsia="de-CH"/>
        </w:rPr>
        <w:softHyphen/>
        <w:t xml:space="preserve">triumsalz mit einem Molekulargewicht zwischen 800 und 1’200 </w:t>
      </w:r>
      <w:proofErr w:type="spellStart"/>
      <w:r w:rsidRPr="00AF37B6">
        <w:rPr>
          <w:rFonts w:ascii="Arial" w:eastAsia="Times New Roman" w:hAnsi="Arial" w:cs="Arial"/>
          <w:color w:val="000000"/>
          <w:sz w:val="24"/>
          <w:szCs w:val="24"/>
          <w:lang w:eastAsia="de-CH"/>
        </w:rPr>
        <w:t>kDalton</w:t>
      </w:r>
      <w:proofErr w:type="spellEnd"/>
      <w:r w:rsidRPr="00AF37B6">
        <w:rPr>
          <w:rFonts w:ascii="Arial" w:eastAsia="Times New Roman" w:hAnsi="Arial" w:cs="Arial"/>
          <w:color w:val="000000"/>
          <w:sz w:val="24"/>
          <w:szCs w:val="24"/>
          <w:lang w:eastAsia="de-CH"/>
        </w:rPr>
        <w:t>.</w:t>
      </w:r>
    </w:p>
    <w:p w14:paraId="7B05E8C1"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Seine anderen Bestandteile sind Natriumchlorid, Natriumphosphat und Wasser für Injektionszwecke.</w:t>
      </w:r>
    </w:p>
    <w:p w14:paraId="2CBF390A"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-Natriumsalz (</w:t>
      </w:r>
      <w:proofErr w:type="spellStart"/>
      <w:r w:rsidRPr="00AF37B6">
        <w:rPr>
          <w:rFonts w:ascii="Arial" w:eastAsia="Times New Roman" w:hAnsi="Arial" w:cs="Arial"/>
          <w:color w:val="000000"/>
          <w:sz w:val="24"/>
          <w:szCs w:val="24"/>
          <w:lang w:eastAsia="de-CH"/>
        </w:rPr>
        <w:t>Hyaluronan</w:t>
      </w:r>
      <w:proofErr w:type="spellEnd"/>
      <w:r w:rsidRPr="00AF37B6">
        <w:rPr>
          <w:rFonts w:ascii="Arial" w:eastAsia="Times New Roman" w:hAnsi="Arial" w:cs="Arial"/>
          <w:color w:val="000000"/>
          <w:sz w:val="24"/>
          <w:szCs w:val="24"/>
          <w:lang w:eastAsia="de-CH"/>
        </w:rPr>
        <w:t>*) besteht aus sich wiederholenden Ketten von Disaccharid-Einheiten aus N-</w:t>
      </w:r>
      <w:proofErr w:type="spellStart"/>
      <w:r w:rsidRPr="00AF37B6">
        <w:rPr>
          <w:rFonts w:ascii="Arial" w:eastAsia="Times New Roman" w:hAnsi="Arial" w:cs="Arial"/>
          <w:color w:val="000000"/>
          <w:sz w:val="24"/>
          <w:szCs w:val="24"/>
          <w:lang w:eastAsia="de-CH"/>
        </w:rPr>
        <w:t>Acetylglucosamin</w:t>
      </w:r>
      <w:proofErr w:type="spellEnd"/>
      <w:r w:rsidRPr="00AF37B6">
        <w:rPr>
          <w:rFonts w:ascii="Arial" w:eastAsia="Times New Roman" w:hAnsi="Arial" w:cs="Arial"/>
          <w:color w:val="000000"/>
          <w:sz w:val="24"/>
          <w:szCs w:val="24"/>
          <w:lang w:eastAsia="de-CH"/>
        </w:rPr>
        <w:t xml:space="preserve"> und </w:t>
      </w:r>
      <w:proofErr w:type="spellStart"/>
      <w:r w:rsidRPr="00AF37B6">
        <w:rPr>
          <w:rFonts w:ascii="Arial" w:eastAsia="Times New Roman" w:hAnsi="Arial" w:cs="Arial"/>
          <w:color w:val="000000"/>
          <w:sz w:val="24"/>
          <w:szCs w:val="24"/>
          <w:lang w:eastAsia="de-CH"/>
        </w:rPr>
        <w:t>Natriumglucuronat</w:t>
      </w:r>
      <w:proofErr w:type="spellEnd"/>
      <w:r w:rsidRPr="00AF37B6">
        <w:rPr>
          <w:rFonts w:ascii="Arial" w:eastAsia="Times New Roman" w:hAnsi="Arial" w:cs="Arial"/>
          <w:color w:val="000000"/>
          <w:sz w:val="24"/>
          <w:szCs w:val="24"/>
          <w:lang w:eastAsia="de-CH"/>
        </w:rPr>
        <w:t xml:space="preserve">. Es ist ein wesentlicher Bestandteil der </w:t>
      </w:r>
      <w:proofErr w:type="spellStart"/>
      <w:r w:rsidRPr="00AF37B6">
        <w:rPr>
          <w:rFonts w:ascii="Arial" w:eastAsia="Times New Roman" w:hAnsi="Arial" w:cs="Arial"/>
          <w:color w:val="000000"/>
          <w:sz w:val="24"/>
          <w:szCs w:val="24"/>
          <w:lang w:eastAsia="de-CH"/>
        </w:rPr>
        <w:t>Synovialflüssigkeit</w:t>
      </w:r>
      <w:proofErr w:type="spellEnd"/>
      <w:r w:rsidRPr="00AF37B6">
        <w:rPr>
          <w:rFonts w:ascii="Arial" w:eastAsia="Times New Roman" w:hAnsi="Arial" w:cs="Arial"/>
          <w:color w:val="000000"/>
          <w:sz w:val="24"/>
          <w:szCs w:val="24"/>
          <w:lang w:eastAsia="de-CH"/>
        </w:rPr>
        <w:t xml:space="preserve"> und verleiht dieser ihre </w:t>
      </w:r>
      <w:proofErr w:type="spellStart"/>
      <w:r w:rsidRPr="00AF37B6">
        <w:rPr>
          <w:rFonts w:ascii="Arial" w:eastAsia="Times New Roman" w:hAnsi="Arial" w:cs="Arial"/>
          <w:color w:val="000000"/>
          <w:sz w:val="24"/>
          <w:szCs w:val="24"/>
          <w:lang w:eastAsia="de-CH"/>
        </w:rPr>
        <w:t>viscoelastischen</w:t>
      </w:r>
      <w:proofErr w:type="spellEnd"/>
      <w:r w:rsidRPr="00AF37B6">
        <w:rPr>
          <w:rFonts w:ascii="Arial" w:eastAsia="Times New Roman" w:hAnsi="Arial" w:cs="Arial"/>
          <w:color w:val="000000"/>
          <w:sz w:val="24"/>
          <w:szCs w:val="24"/>
          <w:lang w:eastAsia="de-CH"/>
        </w:rPr>
        <w:t xml:space="preserve"> Eigenschaften.</w:t>
      </w:r>
    </w:p>
    <w:p w14:paraId="3EFBF11A"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Indem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die </w:t>
      </w:r>
      <w:proofErr w:type="spellStart"/>
      <w:r w:rsidRPr="00AF37B6">
        <w:rPr>
          <w:rFonts w:ascii="Arial" w:eastAsia="Times New Roman" w:hAnsi="Arial" w:cs="Arial"/>
          <w:color w:val="000000"/>
          <w:sz w:val="24"/>
          <w:szCs w:val="24"/>
          <w:lang w:eastAsia="de-CH"/>
        </w:rPr>
        <w:t>viscoelastischen</w:t>
      </w:r>
      <w:proofErr w:type="spellEnd"/>
      <w:r w:rsidRPr="00AF37B6">
        <w:rPr>
          <w:rFonts w:ascii="Arial" w:eastAsia="Times New Roman" w:hAnsi="Arial" w:cs="Arial"/>
          <w:color w:val="000000"/>
          <w:sz w:val="24"/>
          <w:szCs w:val="24"/>
          <w:lang w:eastAsia="de-CH"/>
        </w:rPr>
        <w:t xml:space="preserve"> Eigenschaften der Gelenkflüssigkeit wieder herstellt, reduziert es den Schmerz und verbessert die Beweglichkeit der Gelenke.</w:t>
      </w:r>
    </w:p>
    <w:p w14:paraId="625D3C53"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wirkt nur in den Gelenken, in die es injiziert wird. Es entfaltet keinerlei systemische Wirkung.</w:t>
      </w:r>
    </w:p>
    <w:p w14:paraId="2DE019BD"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Das in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enthaltene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-Natriumsalz wird fermentativ gewonnen und ist chemisch nicht modifiziert.</w:t>
      </w:r>
    </w:p>
    <w:p w14:paraId="09483C7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Spritzen sind dampfsterilisiert.</w:t>
      </w:r>
    </w:p>
    <w:p w14:paraId="334505D6"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Oft verwendete alternative Bezeichnung.</w:t>
      </w:r>
    </w:p>
    <w:p w14:paraId="79FDC3B2"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8" w:name="7700"/>
      <w:r w:rsidRPr="00AF37B6">
        <w:rPr>
          <w:rFonts w:ascii="Arial" w:eastAsia="Times New Roman" w:hAnsi="Arial" w:cs="Arial"/>
          <w:b/>
          <w:bCs/>
          <w:i/>
          <w:iCs/>
          <w:color w:val="000000"/>
          <w:sz w:val="24"/>
          <w:szCs w:val="24"/>
          <w:lang w:eastAsia="de-CH"/>
        </w:rPr>
        <w:t>Sonstige Hinweise</w:t>
      </w:r>
    </w:p>
    <w:bookmarkEnd w:id="8"/>
    <w:p w14:paraId="17498585"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Der Inhalt der vorgefüllten Spritze ist steril. Die Spritze ist in einem versiegelten Blister verpackt. Die äussere Spritzenoberfläche ist nicht steril.</w:t>
      </w:r>
    </w:p>
    <w:p w14:paraId="7A93EA8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darf nur bis zu dem auf der Packung angegebenen Verfalldatum verwendet werden.</w:t>
      </w:r>
    </w:p>
    <w:p w14:paraId="1799F5A6"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Wenn die Packung bereits offen oder beschädigt ist, sollte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nicht mehr angewendet werden.</w:t>
      </w:r>
    </w:p>
    <w:p w14:paraId="08718D4B"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Nicht erneut sterilisieren. Der Inhalt einer Spritze ist nur zur einmaligen Anwendung bestimmt.</w:t>
      </w:r>
    </w:p>
    <w:p w14:paraId="07461B4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Nicht wieder verwenden, um jegliche Kontaminationsgefahr zu vermeiden.</w:t>
      </w:r>
    </w:p>
    <w:p w14:paraId="2790A8D7"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Bei Raumtemperatur, aber auf jeden Fall unter 25 °C, sowie von Wärmequellen entfernt aufbewahren. Nicht einfrieren.</w:t>
      </w:r>
    </w:p>
    <w:p w14:paraId="73AA0F3A"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Nach dem Öffnen muss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sofort verwendet und nach Gebrauch entsorgt werden.</w:t>
      </w:r>
    </w:p>
    <w:p w14:paraId="5E171D1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Ausserhalb der Reichweite von Kindern aufbewahren.</w:t>
      </w:r>
    </w:p>
    <w:p w14:paraId="37C36F98"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Das eventuelle Vorhandensein einer Luftblase beeinträchtigt keineswegs die Produkteeigenschaften.</w:t>
      </w:r>
    </w:p>
    <w:p w14:paraId="5F9CE033" w14:textId="77777777" w:rsid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Darf nur gegen ärztliches Rezept abgegeben werden.</w:t>
      </w:r>
    </w:p>
    <w:p w14:paraId="2051F765"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9" w:name="9100"/>
      <w:r w:rsidRPr="00AF37B6">
        <w:rPr>
          <w:rFonts w:ascii="Arial" w:eastAsia="Times New Roman" w:hAnsi="Arial" w:cs="Arial"/>
          <w:b/>
          <w:bCs/>
          <w:i/>
          <w:iCs/>
          <w:color w:val="000000"/>
          <w:sz w:val="24"/>
          <w:szCs w:val="24"/>
          <w:lang w:eastAsia="de-CH"/>
        </w:rPr>
        <w:t>Packungen</w:t>
      </w:r>
    </w:p>
    <w:bookmarkEnd w:id="9"/>
    <w:p w14:paraId="038CA2A1" w14:textId="77777777" w:rsidR="00AF37B6" w:rsidRPr="00F26A2E" w:rsidRDefault="00AF37B6" w:rsidP="00AF37B6">
      <w:pPr>
        <w:spacing w:after="0" w:line="240" w:lineRule="auto"/>
        <w:rPr>
          <w:rFonts w:ascii="Arial" w:eastAsia="Times New Roman" w:hAnsi="Arial" w:cs="Arial"/>
          <w:sz w:val="24"/>
          <w:szCs w:val="24"/>
          <w:lang w:eastAsia="de-CH"/>
        </w:rPr>
      </w:pPr>
      <w:r w:rsidRPr="00AF37B6">
        <w:rPr>
          <w:rFonts w:ascii="Arial" w:eastAsia="Times New Roman" w:hAnsi="Arial" w:cs="Arial"/>
          <w:color w:val="8A8A8A"/>
          <w:sz w:val="24"/>
          <w:szCs w:val="24"/>
          <w:lang w:eastAsia="de-CH"/>
        </w:rPr>
        <w:t>7612291092249</w:t>
      </w:r>
      <w:r w:rsidRPr="00F26A2E">
        <w:rPr>
          <w:rFonts w:ascii="Arial" w:eastAsia="Times New Roman" w:hAnsi="Arial" w:cs="Arial"/>
          <w:color w:val="8A8A8A"/>
          <w:sz w:val="24"/>
          <w:szCs w:val="24"/>
          <w:lang w:eastAsia="de-CH"/>
        </w:rPr>
        <w:t xml:space="preserve">, </w:t>
      </w:r>
      <w:r w:rsidRPr="00AF37B6">
        <w:rPr>
          <w:rFonts w:ascii="Arial" w:eastAsia="Times New Roman" w:hAnsi="Arial" w:cs="Arial"/>
          <w:sz w:val="24"/>
          <w:szCs w:val="24"/>
          <w:lang w:eastAsia="de-CH"/>
        </w:rPr>
        <w:t>Fertigspritze 2 ml</w:t>
      </w:r>
    </w:p>
    <w:p w14:paraId="4547B229" w14:textId="77777777" w:rsidR="00AF37B6" w:rsidRPr="00F26A2E" w:rsidRDefault="00AF37B6" w:rsidP="00AF37B6">
      <w:pPr>
        <w:spacing w:after="0" w:line="240" w:lineRule="auto"/>
        <w:rPr>
          <w:rFonts w:ascii="Arial" w:eastAsia="Times New Roman" w:hAnsi="Arial" w:cs="Arial"/>
          <w:sz w:val="24"/>
          <w:szCs w:val="24"/>
          <w:lang w:eastAsia="de-CH"/>
        </w:rPr>
      </w:pPr>
      <w:r w:rsidRPr="00AF37B6">
        <w:rPr>
          <w:rFonts w:ascii="Arial" w:eastAsia="Times New Roman" w:hAnsi="Arial" w:cs="Arial"/>
          <w:color w:val="8A8A8A"/>
          <w:sz w:val="24"/>
          <w:szCs w:val="24"/>
          <w:lang w:eastAsia="de-CH"/>
        </w:rPr>
        <w:t>7612291058634</w:t>
      </w:r>
      <w:r w:rsidRPr="00F26A2E">
        <w:rPr>
          <w:rFonts w:ascii="Arial" w:eastAsia="Times New Roman" w:hAnsi="Arial" w:cs="Arial"/>
          <w:color w:val="8A8A8A"/>
          <w:sz w:val="24"/>
          <w:szCs w:val="24"/>
          <w:lang w:eastAsia="de-CH"/>
        </w:rPr>
        <w:t xml:space="preserve">, </w:t>
      </w:r>
      <w:r w:rsidRPr="00AF37B6">
        <w:rPr>
          <w:rFonts w:ascii="Arial" w:eastAsia="Times New Roman" w:hAnsi="Arial" w:cs="Arial"/>
          <w:sz w:val="24"/>
          <w:szCs w:val="24"/>
          <w:lang w:eastAsia="de-CH"/>
        </w:rPr>
        <w:t>3 Fertigspritzen 2 ml</w:t>
      </w:r>
    </w:p>
    <w:p w14:paraId="643BA8AF"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0" w:name="7860"/>
      <w:bookmarkStart w:id="11" w:name="_GoBack"/>
      <w:bookmarkEnd w:id="11"/>
      <w:proofErr w:type="spellStart"/>
      <w:r w:rsidRPr="00AF37B6">
        <w:rPr>
          <w:rFonts w:ascii="Arial" w:eastAsia="Times New Roman" w:hAnsi="Arial" w:cs="Arial"/>
          <w:b/>
          <w:bCs/>
          <w:i/>
          <w:iCs/>
          <w:color w:val="000000"/>
          <w:sz w:val="24"/>
          <w:szCs w:val="24"/>
          <w:lang w:val="fr-CH" w:eastAsia="de-CH"/>
        </w:rPr>
        <w:t>Herstellerin</w:t>
      </w:r>
      <w:proofErr w:type="spellEnd"/>
    </w:p>
    <w:bookmarkEnd w:id="10"/>
    <w:p w14:paraId="5FC324C7"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val="fr-CH" w:eastAsia="de-CH"/>
        </w:rPr>
      </w:pPr>
      <w:r w:rsidRPr="00AF37B6">
        <w:rPr>
          <w:rFonts w:ascii="Arial" w:eastAsia="Times New Roman" w:hAnsi="Arial" w:cs="Arial"/>
          <w:color w:val="000000"/>
          <w:sz w:val="24"/>
          <w:szCs w:val="24"/>
          <w:lang w:val="fr-CH" w:eastAsia="de-CH"/>
        </w:rPr>
        <w:t xml:space="preserve">IBSA </w:t>
      </w:r>
      <w:proofErr w:type="spellStart"/>
      <w:r w:rsidRPr="00AF37B6">
        <w:rPr>
          <w:rFonts w:ascii="Arial" w:eastAsia="Times New Roman" w:hAnsi="Arial" w:cs="Arial"/>
          <w:color w:val="000000"/>
          <w:sz w:val="24"/>
          <w:szCs w:val="24"/>
          <w:lang w:val="fr-CH" w:eastAsia="de-CH"/>
        </w:rPr>
        <w:t>Farmaceutici</w:t>
      </w:r>
      <w:proofErr w:type="spellEnd"/>
      <w:r w:rsidRPr="00AF37B6">
        <w:rPr>
          <w:rFonts w:ascii="Arial" w:eastAsia="Times New Roman" w:hAnsi="Arial" w:cs="Arial"/>
          <w:color w:val="000000"/>
          <w:sz w:val="24"/>
          <w:szCs w:val="24"/>
          <w:lang w:val="fr-CH" w:eastAsia="de-CH"/>
        </w:rPr>
        <w:t xml:space="preserve"> </w:t>
      </w:r>
      <w:proofErr w:type="spellStart"/>
      <w:r w:rsidRPr="00AF37B6">
        <w:rPr>
          <w:rFonts w:ascii="Arial" w:eastAsia="Times New Roman" w:hAnsi="Arial" w:cs="Arial"/>
          <w:color w:val="000000"/>
          <w:sz w:val="24"/>
          <w:szCs w:val="24"/>
          <w:lang w:val="fr-CH" w:eastAsia="de-CH"/>
        </w:rPr>
        <w:t>Italia</w:t>
      </w:r>
      <w:proofErr w:type="spellEnd"/>
      <w:r w:rsidRPr="00AF37B6">
        <w:rPr>
          <w:rFonts w:ascii="Arial" w:eastAsia="Times New Roman" w:hAnsi="Arial" w:cs="Arial"/>
          <w:color w:val="000000"/>
          <w:sz w:val="24"/>
          <w:szCs w:val="24"/>
          <w:lang w:val="fr-CH" w:eastAsia="de-CH"/>
        </w:rPr>
        <w:t xml:space="preserve"> </w:t>
      </w:r>
      <w:proofErr w:type="spellStart"/>
      <w:r w:rsidRPr="00AF37B6">
        <w:rPr>
          <w:rFonts w:ascii="Arial" w:eastAsia="Times New Roman" w:hAnsi="Arial" w:cs="Arial"/>
          <w:color w:val="000000"/>
          <w:sz w:val="24"/>
          <w:szCs w:val="24"/>
          <w:lang w:val="fr-CH" w:eastAsia="de-CH"/>
        </w:rPr>
        <w:t>Srl</w:t>
      </w:r>
      <w:proofErr w:type="spellEnd"/>
      <w:r w:rsidRPr="00AF37B6">
        <w:rPr>
          <w:rFonts w:ascii="Arial" w:eastAsia="Times New Roman" w:hAnsi="Arial" w:cs="Arial"/>
          <w:color w:val="000000"/>
          <w:sz w:val="24"/>
          <w:szCs w:val="24"/>
          <w:lang w:val="fr-CH" w:eastAsia="de-CH"/>
        </w:rPr>
        <w:t xml:space="preserve">, Via </w:t>
      </w:r>
      <w:proofErr w:type="spellStart"/>
      <w:r w:rsidRPr="00AF37B6">
        <w:rPr>
          <w:rFonts w:ascii="Arial" w:eastAsia="Times New Roman" w:hAnsi="Arial" w:cs="Arial"/>
          <w:color w:val="000000"/>
          <w:sz w:val="24"/>
          <w:szCs w:val="24"/>
          <w:lang w:val="fr-CH" w:eastAsia="de-CH"/>
        </w:rPr>
        <w:t>Martiri</w:t>
      </w:r>
      <w:proofErr w:type="spellEnd"/>
      <w:r w:rsidRPr="00AF37B6">
        <w:rPr>
          <w:rFonts w:ascii="Arial" w:eastAsia="Times New Roman" w:hAnsi="Arial" w:cs="Arial"/>
          <w:color w:val="000000"/>
          <w:sz w:val="24"/>
          <w:szCs w:val="24"/>
          <w:lang w:val="fr-CH" w:eastAsia="de-CH"/>
        </w:rPr>
        <w:t xml:space="preserve"> di </w:t>
      </w:r>
      <w:proofErr w:type="spellStart"/>
      <w:r w:rsidRPr="00AF37B6">
        <w:rPr>
          <w:rFonts w:ascii="Arial" w:eastAsia="Times New Roman" w:hAnsi="Arial" w:cs="Arial"/>
          <w:color w:val="000000"/>
          <w:sz w:val="24"/>
          <w:szCs w:val="24"/>
          <w:lang w:val="fr-CH" w:eastAsia="de-CH"/>
        </w:rPr>
        <w:t>Cefalonia</w:t>
      </w:r>
      <w:proofErr w:type="spellEnd"/>
      <w:r w:rsidRPr="00AF37B6">
        <w:rPr>
          <w:rFonts w:ascii="Arial" w:eastAsia="Times New Roman" w:hAnsi="Arial" w:cs="Arial"/>
          <w:color w:val="000000"/>
          <w:sz w:val="24"/>
          <w:szCs w:val="24"/>
          <w:lang w:val="fr-CH" w:eastAsia="de-CH"/>
        </w:rPr>
        <w:t xml:space="preserve"> 2, </w:t>
      </w:r>
      <w:r w:rsidRPr="00AF37B6">
        <w:rPr>
          <w:rFonts w:ascii="Arial" w:eastAsia="Times New Roman" w:hAnsi="Arial" w:cs="Arial"/>
          <w:color w:val="000000"/>
          <w:sz w:val="24"/>
          <w:szCs w:val="24"/>
          <w:lang w:val="fr-CH" w:eastAsia="de-CH"/>
        </w:rPr>
        <w:softHyphen/>
        <w:t>I-26900 Lodi (LO).</w:t>
      </w:r>
    </w:p>
    <w:p w14:paraId="5C66D303" w14:textId="77777777" w:rsidR="00AF37B6" w:rsidRPr="00AF37B6" w:rsidRDefault="00AF37B6" w:rsidP="00AF37B6">
      <w:pPr>
        <w:shd w:val="clear" w:color="auto" w:fill="FFFFFF"/>
        <w:spacing w:before="100" w:beforeAutospacing="1" w:after="90" w:line="240" w:lineRule="auto"/>
        <w:rPr>
          <w:rFonts w:ascii="Arial" w:eastAsia="Times New Roman" w:hAnsi="Arial" w:cs="Arial"/>
          <w:color w:val="000000"/>
          <w:sz w:val="24"/>
          <w:szCs w:val="24"/>
          <w:lang w:val="fr-CH" w:eastAsia="de-CH"/>
        </w:rPr>
      </w:pPr>
      <w:proofErr w:type="spellStart"/>
      <w:r w:rsidRPr="00AF37B6">
        <w:rPr>
          <w:rFonts w:ascii="Arial" w:eastAsia="Times New Roman" w:hAnsi="Arial" w:cs="Arial"/>
          <w:b/>
          <w:bCs/>
          <w:color w:val="000000"/>
          <w:sz w:val="24"/>
          <w:szCs w:val="24"/>
          <w:lang w:val="fr-CH" w:eastAsia="de-CH"/>
        </w:rPr>
        <w:t>Vertriebsfirma</w:t>
      </w:r>
      <w:proofErr w:type="spellEnd"/>
    </w:p>
    <w:p w14:paraId="6FBA096E"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val="fr-CH" w:eastAsia="de-CH"/>
        </w:rPr>
      </w:pPr>
      <w:r w:rsidRPr="00AF37B6">
        <w:rPr>
          <w:rFonts w:ascii="Arial" w:eastAsia="Times New Roman" w:hAnsi="Arial" w:cs="Arial"/>
          <w:color w:val="000000"/>
          <w:sz w:val="24"/>
          <w:szCs w:val="24"/>
          <w:lang w:val="fr-CH" w:eastAsia="de-CH"/>
        </w:rPr>
        <w:t>IBSA Institut Biochimique SA, 6903 Lugano.</w:t>
      </w:r>
    </w:p>
    <w:p w14:paraId="4F08BE04"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2" w:name="8000"/>
      <w:r w:rsidRPr="00AF37B6">
        <w:rPr>
          <w:rFonts w:ascii="Arial" w:eastAsia="Times New Roman" w:hAnsi="Arial" w:cs="Arial"/>
          <w:b/>
          <w:bCs/>
          <w:i/>
          <w:iCs/>
          <w:color w:val="000000"/>
          <w:sz w:val="24"/>
          <w:szCs w:val="24"/>
          <w:lang w:eastAsia="de-CH"/>
        </w:rPr>
        <w:t>Stand der Information</w:t>
      </w:r>
    </w:p>
    <w:bookmarkEnd w:id="12"/>
    <w:p w14:paraId="1D6E7F70" w14:textId="77777777" w:rsidR="004D2B30"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April 2010.</w:t>
      </w:r>
    </w:p>
    <w:sectPr w:rsidR="004D2B30" w:rsidRPr="00AF37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B6"/>
    <w:rsid w:val="004D2B30"/>
    <w:rsid w:val="008F7AD8"/>
    <w:rsid w:val="00984AFF"/>
    <w:rsid w:val="00AF37B6"/>
    <w:rsid w:val="00F26A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423"/>
  <w15:chartTrackingRefBased/>
  <w15:docId w15:val="{9D7D90D5-616D-4C4C-8B36-1DB78305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spacing">
    <w:name w:val="nospacing"/>
    <w:basedOn w:val="Standard"/>
    <w:rsid w:val="00AF37B6"/>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AF37B6"/>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spacing1">
    <w:name w:val="spacing1"/>
    <w:basedOn w:val="Standard"/>
    <w:rsid w:val="00AF37B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AF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90710">
      <w:bodyDiv w:val="1"/>
      <w:marLeft w:val="0"/>
      <w:marRight w:val="0"/>
      <w:marTop w:val="0"/>
      <w:marBottom w:val="0"/>
      <w:divBdr>
        <w:top w:val="none" w:sz="0" w:space="0" w:color="auto"/>
        <w:left w:val="none" w:sz="0" w:space="0" w:color="auto"/>
        <w:bottom w:val="none" w:sz="0" w:space="0" w:color="auto"/>
        <w:right w:val="none" w:sz="0" w:space="0" w:color="auto"/>
      </w:divBdr>
      <w:divsChild>
        <w:div w:id="2036810154">
          <w:marLeft w:val="0"/>
          <w:marRight w:val="0"/>
          <w:marTop w:val="120"/>
          <w:marBottom w:val="48"/>
          <w:divBdr>
            <w:top w:val="none" w:sz="0" w:space="0" w:color="auto"/>
            <w:left w:val="none" w:sz="0" w:space="0" w:color="auto"/>
            <w:bottom w:val="none" w:sz="0" w:space="0" w:color="auto"/>
            <w:right w:val="none" w:sz="0" w:space="0" w:color="auto"/>
          </w:divBdr>
        </w:div>
        <w:div w:id="671759859">
          <w:marLeft w:val="0"/>
          <w:marRight w:val="0"/>
          <w:marTop w:val="0"/>
          <w:marBottom w:val="240"/>
          <w:divBdr>
            <w:top w:val="single" w:sz="6" w:space="2" w:color="000000"/>
            <w:left w:val="none" w:sz="0" w:space="0" w:color="auto"/>
            <w:bottom w:val="single" w:sz="6" w:space="2" w:color="000000"/>
            <w:right w:val="none" w:sz="0" w:space="0" w:color="auto"/>
          </w:divBdr>
        </w:div>
        <w:div w:id="293102389">
          <w:marLeft w:val="0"/>
          <w:marRight w:val="0"/>
          <w:marTop w:val="192"/>
          <w:marBottom w:val="0"/>
          <w:divBdr>
            <w:top w:val="none" w:sz="0" w:space="0" w:color="auto"/>
            <w:left w:val="none" w:sz="0" w:space="0" w:color="auto"/>
            <w:bottom w:val="none" w:sz="0" w:space="0" w:color="auto"/>
            <w:right w:val="none" w:sz="0" w:space="0" w:color="auto"/>
          </w:divBdr>
          <w:divsChild>
            <w:div w:id="520094630">
              <w:marLeft w:val="0"/>
              <w:marRight w:val="0"/>
              <w:marTop w:val="0"/>
              <w:marBottom w:val="0"/>
              <w:divBdr>
                <w:top w:val="none" w:sz="0" w:space="0" w:color="auto"/>
                <w:left w:val="none" w:sz="0" w:space="0" w:color="auto"/>
                <w:bottom w:val="none" w:sz="0" w:space="0" w:color="auto"/>
                <w:right w:val="none" w:sz="0" w:space="0" w:color="auto"/>
              </w:divBdr>
            </w:div>
          </w:divsChild>
        </w:div>
        <w:div w:id="531921310">
          <w:marLeft w:val="0"/>
          <w:marRight w:val="0"/>
          <w:marTop w:val="192"/>
          <w:marBottom w:val="0"/>
          <w:divBdr>
            <w:top w:val="none" w:sz="0" w:space="0" w:color="auto"/>
            <w:left w:val="none" w:sz="0" w:space="0" w:color="auto"/>
            <w:bottom w:val="none" w:sz="0" w:space="0" w:color="auto"/>
            <w:right w:val="none" w:sz="0" w:space="0" w:color="auto"/>
          </w:divBdr>
          <w:divsChild>
            <w:div w:id="51463717">
              <w:marLeft w:val="0"/>
              <w:marRight w:val="0"/>
              <w:marTop w:val="0"/>
              <w:marBottom w:val="0"/>
              <w:divBdr>
                <w:top w:val="none" w:sz="0" w:space="0" w:color="auto"/>
                <w:left w:val="none" w:sz="0" w:space="0" w:color="auto"/>
                <w:bottom w:val="none" w:sz="0" w:space="0" w:color="auto"/>
                <w:right w:val="none" w:sz="0" w:space="0" w:color="auto"/>
              </w:divBdr>
            </w:div>
          </w:divsChild>
        </w:div>
        <w:div w:id="1875270070">
          <w:marLeft w:val="0"/>
          <w:marRight w:val="0"/>
          <w:marTop w:val="192"/>
          <w:marBottom w:val="0"/>
          <w:divBdr>
            <w:top w:val="none" w:sz="0" w:space="0" w:color="auto"/>
            <w:left w:val="none" w:sz="0" w:space="0" w:color="auto"/>
            <w:bottom w:val="none" w:sz="0" w:space="0" w:color="auto"/>
            <w:right w:val="none" w:sz="0" w:space="0" w:color="auto"/>
          </w:divBdr>
          <w:divsChild>
            <w:div w:id="1068646144">
              <w:marLeft w:val="0"/>
              <w:marRight w:val="0"/>
              <w:marTop w:val="0"/>
              <w:marBottom w:val="0"/>
              <w:divBdr>
                <w:top w:val="none" w:sz="0" w:space="0" w:color="auto"/>
                <w:left w:val="none" w:sz="0" w:space="0" w:color="auto"/>
                <w:bottom w:val="none" w:sz="0" w:space="0" w:color="auto"/>
                <w:right w:val="none" w:sz="0" w:space="0" w:color="auto"/>
              </w:divBdr>
            </w:div>
          </w:divsChild>
        </w:div>
        <w:div w:id="1861318117">
          <w:marLeft w:val="0"/>
          <w:marRight w:val="0"/>
          <w:marTop w:val="192"/>
          <w:marBottom w:val="0"/>
          <w:divBdr>
            <w:top w:val="none" w:sz="0" w:space="0" w:color="auto"/>
            <w:left w:val="none" w:sz="0" w:space="0" w:color="auto"/>
            <w:bottom w:val="none" w:sz="0" w:space="0" w:color="auto"/>
            <w:right w:val="none" w:sz="0" w:space="0" w:color="auto"/>
          </w:divBdr>
          <w:divsChild>
            <w:div w:id="1155561210">
              <w:marLeft w:val="0"/>
              <w:marRight w:val="0"/>
              <w:marTop w:val="0"/>
              <w:marBottom w:val="0"/>
              <w:divBdr>
                <w:top w:val="none" w:sz="0" w:space="0" w:color="auto"/>
                <w:left w:val="none" w:sz="0" w:space="0" w:color="auto"/>
                <w:bottom w:val="none" w:sz="0" w:space="0" w:color="auto"/>
                <w:right w:val="none" w:sz="0" w:space="0" w:color="auto"/>
              </w:divBdr>
            </w:div>
          </w:divsChild>
        </w:div>
        <w:div w:id="279803356">
          <w:marLeft w:val="0"/>
          <w:marRight w:val="0"/>
          <w:marTop w:val="192"/>
          <w:marBottom w:val="0"/>
          <w:divBdr>
            <w:top w:val="none" w:sz="0" w:space="0" w:color="auto"/>
            <w:left w:val="none" w:sz="0" w:space="0" w:color="auto"/>
            <w:bottom w:val="none" w:sz="0" w:space="0" w:color="auto"/>
            <w:right w:val="none" w:sz="0" w:space="0" w:color="auto"/>
          </w:divBdr>
          <w:divsChild>
            <w:div w:id="130944905">
              <w:marLeft w:val="0"/>
              <w:marRight w:val="0"/>
              <w:marTop w:val="0"/>
              <w:marBottom w:val="0"/>
              <w:divBdr>
                <w:top w:val="none" w:sz="0" w:space="0" w:color="auto"/>
                <w:left w:val="none" w:sz="0" w:space="0" w:color="auto"/>
                <w:bottom w:val="none" w:sz="0" w:space="0" w:color="auto"/>
                <w:right w:val="none" w:sz="0" w:space="0" w:color="auto"/>
              </w:divBdr>
            </w:div>
          </w:divsChild>
        </w:div>
        <w:div w:id="1474374910">
          <w:marLeft w:val="0"/>
          <w:marRight w:val="0"/>
          <w:marTop w:val="192"/>
          <w:marBottom w:val="0"/>
          <w:divBdr>
            <w:top w:val="none" w:sz="0" w:space="0" w:color="auto"/>
            <w:left w:val="none" w:sz="0" w:space="0" w:color="auto"/>
            <w:bottom w:val="none" w:sz="0" w:space="0" w:color="auto"/>
            <w:right w:val="none" w:sz="0" w:space="0" w:color="auto"/>
          </w:divBdr>
          <w:divsChild>
            <w:div w:id="351615462">
              <w:marLeft w:val="0"/>
              <w:marRight w:val="0"/>
              <w:marTop w:val="0"/>
              <w:marBottom w:val="0"/>
              <w:divBdr>
                <w:top w:val="none" w:sz="0" w:space="0" w:color="auto"/>
                <w:left w:val="none" w:sz="0" w:space="0" w:color="auto"/>
                <w:bottom w:val="none" w:sz="0" w:space="0" w:color="auto"/>
                <w:right w:val="none" w:sz="0" w:space="0" w:color="auto"/>
              </w:divBdr>
            </w:div>
          </w:divsChild>
        </w:div>
        <w:div w:id="950084805">
          <w:marLeft w:val="0"/>
          <w:marRight w:val="0"/>
          <w:marTop w:val="192"/>
          <w:marBottom w:val="0"/>
          <w:divBdr>
            <w:top w:val="none" w:sz="0" w:space="0" w:color="auto"/>
            <w:left w:val="none" w:sz="0" w:space="0" w:color="auto"/>
            <w:bottom w:val="none" w:sz="0" w:space="0" w:color="auto"/>
            <w:right w:val="none" w:sz="0" w:space="0" w:color="auto"/>
          </w:divBdr>
          <w:divsChild>
            <w:div w:id="272246668">
              <w:marLeft w:val="0"/>
              <w:marRight w:val="0"/>
              <w:marTop w:val="0"/>
              <w:marBottom w:val="0"/>
              <w:divBdr>
                <w:top w:val="none" w:sz="0" w:space="0" w:color="auto"/>
                <w:left w:val="none" w:sz="0" w:space="0" w:color="auto"/>
                <w:bottom w:val="none" w:sz="0" w:space="0" w:color="auto"/>
                <w:right w:val="none" w:sz="0" w:space="0" w:color="auto"/>
              </w:divBdr>
            </w:div>
          </w:divsChild>
        </w:div>
        <w:div w:id="603224617">
          <w:marLeft w:val="0"/>
          <w:marRight w:val="0"/>
          <w:marTop w:val="192"/>
          <w:marBottom w:val="0"/>
          <w:divBdr>
            <w:top w:val="none" w:sz="0" w:space="0" w:color="auto"/>
            <w:left w:val="none" w:sz="0" w:space="0" w:color="auto"/>
            <w:bottom w:val="none" w:sz="0" w:space="0" w:color="auto"/>
            <w:right w:val="none" w:sz="0" w:space="0" w:color="auto"/>
          </w:divBdr>
          <w:divsChild>
            <w:div w:id="607812688">
              <w:marLeft w:val="0"/>
              <w:marRight w:val="0"/>
              <w:marTop w:val="0"/>
              <w:marBottom w:val="0"/>
              <w:divBdr>
                <w:top w:val="none" w:sz="0" w:space="0" w:color="auto"/>
                <w:left w:val="none" w:sz="0" w:space="0" w:color="auto"/>
                <w:bottom w:val="none" w:sz="0" w:space="0" w:color="auto"/>
                <w:right w:val="none" w:sz="0" w:space="0" w:color="auto"/>
              </w:divBdr>
            </w:div>
          </w:divsChild>
        </w:div>
        <w:div w:id="1830321930">
          <w:marLeft w:val="0"/>
          <w:marRight w:val="0"/>
          <w:marTop w:val="192"/>
          <w:marBottom w:val="0"/>
          <w:divBdr>
            <w:top w:val="none" w:sz="0" w:space="0" w:color="auto"/>
            <w:left w:val="none" w:sz="0" w:space="0" w:color="auto"/>
            <w:bottom w:val="none" w:sz="0" w:space="0" w:color="auto"/>
            <w:right w:val="none" w:sz="0" w:space="0" w:color="auto"/>
          </w:divBdr>
          <w:divsChild>
            <w:div w:id="589586371">
              <w:marLeft w:val="0"/>
              <w:marRight w:val="0"/>
              <w:marTop w:val="0"/>
              <w:marBottom w:val="0"/>
              <w:divBdr>
                <w:top w:val="none" w:sz="0" w:space="0" w:color="auto"/>
                <w:left w:val="none" w:sz="0" w:space="0" w:color="auto"/>
                <w:bottom w:val="none" w:sz="0" w:space="0" w:color="auto"/>
                <w:right w:val="none" w:sz="0" w:space="0" w:color="auto"/>
              </w:divBdr>
            </w:div>
          </w:divsChild>
        </w:div>
        <w:div w:id="1764258876">
          <w:marLeft w:val="0"/>
          <w:marRight w:val="0"/>
          <w:marTop w:val="192"/>
          <w:marBottom w:val="0"/>
          <w:divBdr>
            <w:top w:val="none" w:sz="0" w:space="0" w:color="auto"/>
            <w:left w:val="none" w:sz="0" w:space="0" w:color="auto"/>
            <w:bottom w:val="none" w:sz="0" w:space="0" w:color="auto"/>
            <w:right w:val="none" w:sz="0" w:space="0" w:color="auto"/>
          </w:divBdr>
          <w:divsChild>
            <w:div w:id="1626083373">
              <w:marLeft w:val="0"/>
              <w:marRight w:val="0"/>
              <w:marTop w:val="0"/>
              <w:marBottom w:val="0"/>
              <w:divBdr>
                <w:top w:val="none" w:sz="0" w:space="0" w:color="auto"/>
                <w:left w:val="none" w:sz="0" w:space="0" w:color="auto"/>
                <w:bottom w:val="none" w:sz="0" w:space="0" w:color="auto"/>
                <w:right w:val="none" w:sz="0" w:space="0" w:color="auto"/>
              </w:divBdr>
            </w:div>
            <w:div w:id="480465882">
              <w:marLeft w:val="0"/>
              <w:marRight w:val="0"/>
              <w:marTop w:val="0"/>
              <w:marBottom w:val="0"/>
              <w:divBdr>
                <w:top w:val="none" w:sz="0" w:space="0" w:color="auto"/>
                <w:left w:val="none" w:sz="0" w:space="0" w:color="auto"/>
                <w:bottom w:val="none" w:sz="0" w:space="0" w:color="auto"/>
                <w:right w:val="none" w:sz="0" w:space="0" w:color="auto"/>
              </w:divBdr>
            </w:div>
          </w:divsChild>
        </w:div>
        <w:div w:id="1599365363">
          <w:marLeft w:val="0"/>
          <w:marRight w:val="0"/>
          <w:marTop w:val="192"/>
          <w:marBottom w:val="0"/>
          <w:divBdr>
            <w:top w:val="none" w:sz="0" w:space="0" w:color="auto"/>
            <w:left w:val="none" w:sz="0" w:space="0" w:color="auto"/>
            <w:bottom w:val="none" w:sz="0" w:space="0" w:color="auto"/>
            <w:right w:val="none" w:sz="0" w:space="0" w:color="auto"/>
          </w:divBdr>
          <w:divsChild>
            <w:div w:id="982928075">
              <w:marLeft w:val="0"/>
              <w:marRight w:val="0"/>
              <w:marTop w:val="0"/>
              <w:marBottom w:val="0"/>
              <w:divBdr>
                <w:top w:val="none" w:sz="0" w:space="0" w:color="auto"/>
                <w:left w:val="none" w:sz="0" w:space="0" w:color="auto"/>
                <w:bottom w:val="none" w:sz="0" w:space="0" w:color="auto"/>
                <w:right w:val="none" w:sz="0" w:space="0" w:color="auto"/>
              </w:divBdr>
            </w:div>
          </w:divsChild>
        </w:div>
        <w:div w:id="1232277846">
          <w:marLeft w:val="0"/>
          <w:marRight w:val="0"/>
          <w:marTop w:val="192"/>
          <w:marBottom w:val="0"/>
          <w:divBdr>
            <w:top w:val="none" w:sz="0" w:space="0" w:color="auto"/>
            <w:left w:val="none" w:sz="0" w:space="0" w:color="auto"/>
            <w:bottom w:val="none" w:sz="0" w:space="0" w:color="auto"/>
            <w:right w:val="none" w:sz="0" w:space="0" w:color="auto"/>
          </w:divBdr>
          <w:divsChild>
            <w:div w:id="20562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Zeno Davatz</cp:lastModifiedBy>
  <cp:revision>2</cp:revision>
  <dcterms:created xsi:type="dcterms:W3CDTF">2014-03-05T13:28:00Z</dcterms:created>
  <dcterms:modified xsi:type="dcterms:W3CDTF">2014-03-05T13:28:00Z</dcterms:modified>
</cp:coreProperties>
</file>