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2265EB" w14:textId="5CDD2E2B" w:rsidR="001E0FFA" w:rsidRDefault="001E0FFA" w:rsidP="001E0FFA">
      <w:pPr>
        <w:pStyle w:val="Heading1"/>
      </w:pPr>
      <w:r>
        <w:t>Introduction</w:t>
      </w:r>
    </w:p>
    <w:p w14:paraId="2C410489" w14:textId="72DCA8C0" w:rsidR="001E0FFA" w:rsidRDefault="001E0FFA" w:rsidP="001E0FFA">
      <w:r>
        <w:t>Candy has been a fixture of the human diet since the ancient world and has morphed from a luxury to an everyday good</w:t>
      </w:r>
      <w:r w:rsidR="00DB7B54">
        <w:t xml:space="preserve"> </w:t>
      </w:r>
      <w:r w:rsidR="00DB7B54">
        <w:fldChar w:fldCharType="begin"/>
      </w:r>
      <w:r w:rsidR="00DB7B54">
        <w:instrText xml:space="preserve"> ADDIN ZOTERO_ITEM CSL_CITATION {"citationID":"h87kTb9u","properties":{"formattedCitation":"(1)","plainCitation":"(1)","noteIndex":0},"citationItems":[{"id":216,"uris":["http://zotero.org/users/local/kryGmbTo/items/WNBYZLAX"],"itemData":{"id":216,"type":"book","abstract":"Confectionery manufacture has been dominated by large-scale industrial processing for several decades. Confectionery implies the food items that are rich in sugar and often referred to as a confection and refers to the art of creating sugar based dessert forms, or subtleties (subtlety or sotelty), often with pastillage. The simplest and earliest confection used by man was honey, dating back over 3000 years ago. Traditional confectionery goes back to ancient times, and continued to be eaten through the Middle Ages into the modern era. Sugar confectionery has developed around the properties of one ingredient – Sucrose. It is a non- reducing disaccharide. The principal ingredient in all confectionery is sucrose, which in its refined form has little flavour apart from its inherent sweetness. This handbook contains Packaging in the confectionery industry, Structure of sugar confectionery, Flavouring of confectionery, Confectionery plant, Ingredients, Quality control and chemical analysis, Medicated confectionery and chewing Gum, Chocolate flow properties, General technical aspects of industrial sugar confectionery manufacture, Manufacture of liquorice paste, Extrusion cooking technology, Manufacture of invert sugar, Marzipan and crystallized confectionery. The manufacture of confectionery is not a science based industry, as these products have traditionally been created by skilled confectioners working empirically. The aim of this handbook is to give the reader a perspective on several processes and techniques which are generally followed in the confectionery industry. The texture and technological properties of confectionery products are to a large extent controlled by its structure. The book is aimed for food engineers, scientists, technologists in research and industry, as well as for new entrepreneurs and those who are engaged in this industry. TAGS How to Start Manufacturing Project of Chocolate, Chewing Gum manufacturing, Sugar Free Confectionery manufacturing, Liquorice Paste manufacturing, Cream Paste manufacturing, Aerated Confectionery manufacturing, Invert Sugar manufacturing, Jam manufacturing, Jelly manufacturing, Marmalade manufacturing, Toffee and Caramel Industry, Confectionery Products Business, Agro Based Small Scale Industries Projects, Bakery and confectionery Products, bakery and confectionery projects, bakery and confectionery projects, bakery plant project, bakery project plan, bakery project pdf, biscuit manufacturing project, bread manufacturing project, candy manufacturing process pdf, candy production process, chocolate manufacturing project pdf, confectionery and bakery Based Small Scale Industries Projects, confectionery and bakery Processing Based Profitable Projects, confectionery and bakery Processing Industry in India, confectionery and bakery Processing Projects, confectionery project pdf, Detailed Project on bakery and confectionery, Download free project profiles on confectionery, Download free project profiles on bakery, Feasibility on Bakery and Confectionery, Food Processing &amp;amp; Agro Based Profitable Projects, Food Processing Industry in India, Food Processing Projects, Free Project Profiles on confectionery and bakery manufacturing, How to start a confectionery and bakery Production Business, How to Start a Food Production Business, How to Start confectionery and bakery Processing Industry in India, How to Start Food Processing Industry in India, Indian bakery recipes pdf, Industrial Market Techno Economic on Bakery and Confectionery , List of Confectionery Products, Bakery Products, list of Indian bakery products, Market Survey cum Techno-Economic feasibility study on bakery and confectionery, Most Profitable confectionery and bakery Processing Business Ideas, Most Profitable Food Processing Business Ideas, new small scale ideas in confectionery and bakery processing industry, Pre-Investment Feasibility Study on bakery and confectionery, project profiles on confectionery and bakery, Project on Bakery and Confectionery Products, project on bakery manufacturing unit, project on chocolate industry, project on confectionery and bakery processing industries, project on confectionery industry, project on Confectionery manufacturing unit, rusk manufacturing project, Small Scale confectionery and bakery Processing Projects, Small Scale Food Processing Projects, Starting a confectionery and bakery Processing Business, Starting a Food or Beverage Processing Business, sugar candy manufacturing process, toffee and candy manufacturing plant project, toffee manufacturing project","ISBN":"978-81-7833-153-9","language":"en","note":"Google-Books-ID: a989AQAAQBAJ","number-of-pages":"647","publisher":"ASIA PACIFIC BUSINESS PRESS Inc.","source":"Google Books","title":"Confectionery Products Handbook (Chocolate, Toffees, Chewing Gum &amp; Sugar Free Confectionery): Food Processing &amp; Agro Based Profitable Projects, Food Processing Industry in India, bread manufacturing project, candy manufacturing process, Food Processing Projects, How to Start a Food Production Business, How to Start confectionery and bakery Processing Industry in India, How to Start Food Processing Industry in India","title-short":"Confectionery Products Handbook (Chocolate, Toffees, Chewing Gum &amp; Sugar Free Confectionery)","author":[{"family":"Board","given":"NPCS"}],"issued":{"date-parts":[["2013",10,2]]}}}],"schema":"https://github.com/citation-style-language/schema/raw/master/csl-citation.json"} </w:instrText>
      </w:r>
      <w:r w:rsidR="00DB7B54">
        <w:fldChar w:fldCharType="separate"/>
      </w:r>
      <w:r w:rsidR="00DB7B54" w:rsidRPr="00DB7B54">
        <w:rPr>
          <w:rFonts w:ascii="Calibri" w:hAnsi="Calibri" w:cs="Calibri"/>
        </w:rPr>
        <w:t>(1)</w:t>
      </w:r>
      <w:r w:rsidR="00DB7B54">
        <w:fldChar w:fldCharType="end"/>
      </w:r>
      <w:r>
        <w:t>.</w:t>
      </w:r>
      <w:r w:rsidR="00C3164C">
        <w:t xml:space="preserve"> There are several forms of candy, but hard candy, which is defined by its composition consisting of mostly crystalline sugar, is an ever-popular form. It comprises approximately one-third of the nearly $5 billion American candy market</w:t>
      </w:r>
      <w:r w:rsidR="00DB7B54">
        <w:t xml:space="preserve"> </w:t>
      </w:r>
      <w:r w:rsidR="00DB7B54">
        <w:fldChar w:fldCharType="begin"/>
      </w:r>
      <w:r w:rsidR="008B6666">
        <w:instrText xml:space="preserve"> ADDIN ZOTERO_ITEM CSL_CITATION {"citationID":"dQbsEIuk","properties":{"formattedCitation":"(2)","plainCitation":"(2)","noteIndex":0},"citationItems":[{"id":220,"uris":["http://zotero.org/users/local/kryGmbTo/items/IRM6F8EV"],"itemData":{"id":220,"type":"webpage","abstract":"Halloween has always been the “Super Bowl, Olympics and World Cup wrapped into one” for the candy industry. Will the COVID-19 pandemic change that?","container-title":"Los Angeles Times","language":"en-US","note":"section: Food","title":"Will the pandemic hurt the candy-industrial complex?","URL":"https://www.latimes.com/food/story/2020-10-21/will-the-pandemic-hurt-the-candy-industrial-complex","author":[{"family":"Rivenburg","given":"Roy"}],"accessed":{"date-parts":[["2022",4,5]]},"issued":{"date-parts":[["2020",10,21]]}}}],"schema":"https://github.com/citation-style-language/schema/raw/master/csl-citation.json"} </w:instrText>
      </w:r>
      <w:r w:rsidR="00DB7B54">
        <w:fldChar w:fldCharType="separate"/>
      </w:r>
      <w:r w:rsidR="00DB7B54" w:rsidRPr="00DB7B54">
        <w:rPr>
          <w:rFonts w:ascii="Calibri" w:hAnsi="Calibri" w:cs="Calibri"/>
        </w:rPr>
        <w:t>(2)</w:t>
      </w:r>
      <w:r w:rsidR="00DB7B54">
        <w:fldChar w:fldCharType="end"/>
      </w:r>
      <w:r w:rsidR="00A6208D">
        <w:t>. The characterization of the heat transfer of candy is important as it is only plastic at temperatures above the boiling temperature of water</w:t>
      </w:r>
      <w:r w:rsidR="00DB7B54">
        <w:t xml:space="preserve"> </w:t>
      </w:r>
      <w:r w:rsidR="00DB7B54">
        <w:fldChar w:fldCharType="begin"/>
      </w:r>
      <w:r w:rsidR="00DB7B54">
        <w:instrText xml:space="preserve"> ADDIN ZOTERO_ITEM CSL_CITATION {"citationID":"VbgZGcgj","properties":{"formattedCitation":"(3)","plainCitation":"(3)","noteIndex":0},"citationItems":[{"id":218,"uris":["http://zotero.org/users/local/kryGmbTo/items/YD7E73NT"],"itemData":{"id":218,"type":"book","abstract":"Now in its fifth edition, Food Science remains the most popular and reliable text for introductory courses in food science and technology. This new edition retains the basic format and pedagogical features of previous editions and provides an up-to-date foundation upon which more advanced and specialized knowledge can be built. This essential volume introduces and surveys the broad and complex interrelationships among food ingredients, processing, packaging, distribution and storage, and explores how these factors influence food quality and safety. Reflecting recent advances and emerging technologies in the area, this new edition includes updated commodity and ingredient chapters to emphasize the growing importance of analogs, macro-substitutions, fat fiber and sugar substitutes and replacement products, especially as they affect new product development and increasing concerns for a healthier diet. Revised processing chapters include changing attitudes toward food irradiation, greater use of microwave cooking and microwaveable products, controlled and modified atmosphere packaging and expanding technologies such a extrusion cooking, ohmic heating and supercritical fluid extraction, new information that addresses concerns about the responsible management of food technology, considering environmental, social and economic consequences, as well as the increasing globalization of the food industry. Discussions of food safety an consumer protection including newer phychrotropic pathogens; HAACP techniques for product safety and quality; new information on food additives; pesticides and hormones; and the latest information on nutrition labeling and food regulation. An outstanding text for students with little or no previous instruction in food science and technology, Food Science is also a valuable reference for professionals in food processing, as well as for those working in fields that service, regulate or otherwise interface with the food industry.","ISBN":"978-1-4615-4985-7","language":"en","note":"Google-Books-ID: GRQJAgAAQBAJ","number-of-pages":"620","publisher":"Springer Science &amp; Business Media","source":"Google Books","title":"Food Science: Fifth Edition","title-short":"Food Science","author":[{"family":"Potter","given":"Norman N."},{"family":"Hotchkiss","given":"Joseph H."}],"issued":{"date-parts":[["2012",12,6]]}}}],"schema":"https://github.com/citation-style-language/schema/raw/master/csl-citation.json"} </w:instrText>
      </w:r>
      <w:r w:rsidR="00DB7B54">
        <w:fldChar w:fldCharType="separate"/>
      </w:r>
      <w:r w:rsidR="00DB7B54" w:rsidRPr="00DB7B54">
        <w:rPr>
          <w:rFonts w:ascii="Calibri" w:hAnsi="Calibri" w:cs="Calibri"/>
        </w:rPr>
        <w:t>(3)</w:t>
      </w:r>
      <w:r w:rsidR="00DB7B54">
        <w:fldChar w:fldCharType="end"/>
      </w:r>
      <w:r w:rsidR="00A6208D">
        <w:t>.</w:t>
      </w:r>
    </w:p>
    <w:p w14:paraId="57C0C308" w14:textId="2255703F" w:rsidR="00A6208D" w:rsidRDefault="00A6208D" w:rsidP="00A6208D">
      <w:pPr>
        <w:pStyle w:val="Heading1"/>
      </w:pPr>
      <w:r>
        <w:t>The Candy-Making Process</w:t>
      </w:r>
    </w:p>
    <w:p w14:paraId="42BFE06D" w14:textId="78C358F8" w:rsidR="00A6208D" w:rsidRDefault="00A6208D" w:rsidP="00A6208D">
      <w:r>
        <w:t>The standard process for sugar confectionary</w:t>
      </w:r>
      <w:r w:rsidR="00DB7B54">
        <w:t xml:space="preserve"> </w:t>
      </w:r>
      <w:r w:rsidR="00DB7B54">
        <w:fldChar w:fldCharType="begin"/>
      </w:r>
      <w:r w:rsidR="00DB7B54">
        <w:instrText xml:space="preserve"> ADDIN ZOTERO_ITEM CSL_CITATION {"citationID":"gUcJMQpg","properties":{"formattedCitation":"(1)","plainCitation":"(1)","noteIndex":0},"citationItems":[{"id":216,"uris":["http://zotero.org/users/local/kryGmbTo/items/WNBYZLAX"],"itemData":{"id":216,"type":"book","abstract":"Confectionery manufacture has been dominated by large-scale industrial processing for several decades. Confectionery implies the food items that are rich in sugar and often referred to as a confection and refers to the art of creating sugar based dessert forms, or subtleties (subtlety or sotelty), often with pastillage. The simplest and earliest confection used by man was honey, dating back over 3000 years ago. Traditional confectionery goes back to ancient times, and continued to be eaten through the Middle Ages into the modern era. Sugar confectionery has developed around the properties of one ingredient – Sucrose. It is a non- reducing disaccharide. The principal ingredient in all confectionery is sucrose, which in its refined form has little flavour apart from its inherent sweetness. This handbook contains Packaging in the confectionery industry, Structure of sugar confectionery, Flavouring of confectionery, Confectionery plant, Ingredients, Quality control and chemical analysis, Medicated confectionery and chewing Gum, Chocolate flow properties, General technical aspects of industrial sugar confectionery manufacture, Manufacture of liquorice paste, Extrusion cooking technology, Manufacture of invert sugar, Marzipan and crystallized confectionery. The manufacture of confectionery is not a science based industry, as these products have traditionally been created by skilled confectioners working empirically. The aim of this handbook is to give the reader a perspective on several processes and techniques which are generally followed in the confectionery industry. The texture and technological properties of confectionery products are to a large extent controlled by its structure. The book is aimed for food engineers, scientists, technologists in research and industry, as well as for new entrepreneurs and those who are engaged in this industry. TAGS How to Start Manufacturing Project of Chocolate, Chewing Gum manufacturing, Sugar Free Confectionery manufacturing, Liquorice Paste manufacturing, Cream Paste manufacturing, Aerated Confectionery manufacturing, Invert Sugar manufacturing, Jam manufacturing, Jelly manufacturing, Marmalade manufacturing, Toffee and Caramel Industry, Confectionery Products Business, Agro Based Small Scale Industries Projects, Bakery and confectionery Products, bakery and confectionery projects, bakery and confectionery projects, bakery plant project, bakery project plan, bakery project pdf, biscuit manufacturing project, bread manufacturing project, candy manufacturing process pdf, candy production process, chocolate manufacturing project pdf, confectionery and bakery Based Small Scale Industries Projects, confectionery and bakery Processing Based Profitable Projects, confectionery and bakery Processing Industry in India, confectionery and bakery Processing Projects, confectionery project pdf, Detailed Project on bakery and confectionery, Download free project profiles on confectionery, Download free project profiles on bakery, Feasibility on Bakery and Confectionery, Food Processing &amp;amp; Agro Based Profitable Projects, Food Processing Industry in India, Food Processing Projects, Free Project Profiles on confectionery and bakery manufacturing, How to start a confectionery and bakery Production Business, How to Start a Food Production Business, How to Start confectionery and bakery Processing Industry in India, How to Start Food Processing Industry in India, Indian bakery recipes pdf, Industrial Market Techno Economic on Bakery and Confectionery , List of Confectionery Products, Bakery Products, list of Indian bakery products, Market Survey cum Techno-Economic feasibility study on bakery and confectionery, Most Profitable confectionery and bakery Processing Business Ideas, Most Profitable Food Processing Business Ideas, new small scale ideas in confectionery and bakery processing industry, Pre-Investment Feasibility Study on bakery and confectionery, project profiles on confectionery and bakery, Project on Bakery and Confectionery Products, project on bakery manufacturing unit, project on chocolate industry, project on confectionery and bakery processing industries, project on confectionery industry, project on Confectionery manufacturing unit, rusk manufacturing project, Small Scale confectionery and bakery Processing Projects, Small Scale Food Processing Projects, Starting a confectionery and bakery Processing Business, Starting a Food or Beverage Processing Business, sugar candy manufacturing process, toffee and candy manufacturing plant project, toffee manufacturing project","ISBN":"978-81-7833-153-9","language":"en","note":"Google-Books-ID: a989AQAAQBAJ","number-of-pages":"647","publisher":"ASIA PACIFIC BUSINESS PRESS Inc.","source":"Google Books","title":"Confectionery Products Handbook (Chocolate, Toffees, Chewing Gum &amp; Sugar Free Confectionery): Food Processing &amp; Agro Based Profitable Projects, Food Processing Industry in India, bread manufacturing project, candy manufacturing process, Food Processing Projects, How to Start a Food Production Business, How to Start confectionery and bakery Processing Industry in India, How to Start Food Processing Industry in India","title-short":"Confectionery Products Handbook (Chocolate, Toffees, Chewing Gum &amp; Sugar Free Confectionery)","author":[{"family":"Board","given":"NPCS"}],"issued":{"date-parts":[["2013",10,2]]}}}],"schema":"https://github.com/citation-style-language/schema/raw/master/csl-citation.json"} </w:instrText>
      </w:r>
      <w:r w:rsidR="00DB7B54">
        <w:fldChar w:fldCharType="separate"/>
      </w:r>
      <w:r w:rsidR="00DB7B54" w:rsidRPr="00DB7B54">
        <w:rPr>
          <w:rFonts w:ascii="Calibri" w:hAnsi="Calibri" w:cs="Calibri"/>
        </w:rPr>
        <w:t>(1)</w:t>
      </w:r>
      <w:r w:rsidR="00DB7B54">
        <w:fldChar w:fldCharType="end"/>
      </w:r>
      <w:r>
        <w:t xml:space="preserve"> is to boil a saturated sugar solution, often combined with small quantities of glucose syrup or invertase to prevent unwanted crystal formation</w:t>
      </w:r>
      <w:r w:rsidR="00716F7E">
        <w:t>. For textural reasons, it is not desirable to add large amounts of these additives</w:t>
      </w:r>
      <w:r>
        <w:t xml:space="preserve">. Once this mixture reaches the desired temperature, </w:t>
      </w:r>
      <w:r w:rsidR="00716F7E">
        <w:t>it is formed into the desired shape and cooled. In traditional candy-making, this molding and cooling is done by hand, requiring the use of heat protection or waiting for the sugar to reach a safe temperature to touch. This model aims to characterize the heating and cooling of a molten sugar system to model the temperature over time for a home candy-making process.</w:t>
      </w:r>
    </w:p>
    <w:p w14:paraId="20087F06" w14:textId="69960C49" w:rsidR="00716F7E" w:rsidRDefault="00716F7E" w:rsidP="00716F7E">
      <w:pPr>
        <w:pStyle w:val="Heading1"/>
      </w:pPr>
      <w:r>
        <w:t>The Simple Model</w:t>
      </w:r>
    </w:p>
    <w:p w14:paraId="3C624F1F" w14:textId="0DE4EF54" w:rsidR="00716F7E" w:rsidRDefault="00C54CB0" w:rsidP="00716F7E">
      <w:r>
        <w:t>For the cooling process, a</w:t>
      </w:r>
      <w:r w:rsidR="00716F7E">
        <w:t xml:space="preserve"> model was created to be solved analytically, which required several assumptions:</w:t>
      </w:r>
    </w:p>
    <w:p w14:paraId="3565F75A" w14:textId="63125157" w:rsidR="00716F7E" w:rsidRDefault="00716F7E" w:rsidP="00716F7E">
      <w:pPr>
        <w:rPr>
          <w:rFonts w:cstheme="minorHAnsi"/>
        </w:rPr>
      </w:pPr>
      <w:r>
        <w:t xml:space="preserve">The </w:t>
      </w:r>
      <w:r w:rsidR="00C54CB0">
        <w:t>sugar was assumed to be within a vessel that could be simplified to a two-dimensional rectangle. The heat transfer into the vessel itself was neglected, and it was assumed the top and bottom of the s</w:t>
      </w:r>
      <w:r w:rsidR="00674E07">
        <w:t>ugar</w:t>
      </w:r>
      <w:r w:rsidR="00C54CB0">
        <w:t xml:space="preserve"> were held at a room temperature of 25 </w:t>
      </w:r>
      <w:r w:rsidR="00C54CB0">
        <w:rPr>
          <w:rFonts w:cstheme="minorHAnsi"/>
        </w:rPr>
        <w:t xml:space="preserve"> ̊C.</w:t>
      </w:r>
      <w:r w:rsidR="00674E07">
        <w:rPr>
          <w:rFonts w:cstheme="minorHAnsi"/>
        </w:rPr>
        <w:t xml:space="preserve"> It was assumed that there was only heat transfer in the y direction.</w:t>
      </w:r>
    </w:p>
    <w:p w14:paraId="078939B7" w14:textId="3FE4C49E" w:rsidR="00C54CB0" w:rsidRDefault="00C54CB0" w:rsidP="00716F7E">
      <w:pPr>
        <w:rPr>
          <w:rFonts w:cstheme="minorHAnsi"/>
        </w:rPr>
      </w:pPr>
      <w:r>
        <w:rPr>
          <w:rFonts w:cstheme="minorHAnsi"/>
        </w:rPr>
        <w:t>The sugar was assumed to have a uniform temperature of 140  ̊C at the beginning of the cooling process. The temperature at which a sugar solution will reach above 98% purity is 142  ̊C</w:t>
      </w:r>
      <w:r w:rsidR="00DB7B54">
        <w:rPr>
          <w:rFonts w:cstheme="minorHAnsi"/>
        </w:rPr>
        <w:t xml:space="preserve"> </w:t>
      </w:r>
      <w:r w:rsidR="00DB7B54">
        <w:rPr>
          <w:rFonts w:cstheme="minorHAnsi"/>
        </w:rPr>
        <w:fldChar w:fldCharType="begin"/>
      </w:r>
      <w:r w:rsidR="00DB7B54">
        <w:rPr>
          <w:rFonts w:cstheme="minorHAnsi"/>
        </w:rPr>
        <w:instrText xml:space="preserve"> ADDIN ZOTERO_ITEM CSL_CITATION {"citationID":"5u4La3m4","properties":{"formattedCitation":"(3)","plainCitation":"(3)","noteIndex":0},"citationItems":[{"id":218,"uris":["http://zotero.org/users/local/kryGmbTo/items/YD7E73NT"],"itemData":{"id":218,"type":"book","abstract":"Now in its fifth edition, Food Science remains the most popular and reliable text for introductory courses in food science and technology. This new edition retains the basic format and pedagogical features of previous editions and provides an up-to-date foundation upon which more advanced and specialized knowledge can be built. This essential volume introduces and surveys the broad and complex interrelationships among food ingredients, processing, packaging, distribution and storage, and explores how these factors influence food quality and safety. Reflecting recent advances and emerging technologies in the area, this new edition includes updated commodity and ingredient chapters to emphasize the growing importance of analogs, macro-substitutions, fat fiber and sugar substitutes and replacement products, especially as they affect new product development and increasing concerns for a healthier diet. Revised processing chapters include changing attitudes toward food irradiation, greater use of microwave cooking and microwaveable products, controlled and modified atmosphere packaging and expanding technologies such a extrusion cooking, ohmic heating and supercritical fluid extraction, new information that addresses concerns about the responsible management of food technology, considering environmental, social and economic consequences, as well as the increasing globalization of the food industry. Discussions of food safety an consumer protection including newer phychrotropic pathogens; HAACP techniques for product safety and quality; new information on food additives; pesticides and hormones; and the latest information on nutrition labeling and food regulation. An outstanding text for students with little or no previous instruction in food science and technology, Food Science is also a valuable reference for professionals in food processing, as well as for those working in fields that service, regulate or otherwise interface with the food industry.","ISBN":"978-1-4615-4985-7","language":"en","note":"Google-Books-ID: GRQJAgAAQBAJ","number-of-pages":"620","publisher":"Springer Science &amp; Business Media","source":"Google Books","title":"Food Science: Fifth Edition","title-short":"Food Science","author":[{"family":"Potter","given":"Norman N."},{"family":"Hotchkiss","given":"Joseph H."}],"issued":{"date-parts":[["2012",12,6]]}}}],"schema":"https://github.com/citation-style-language/schema/raw/master/csl-citation.json"} </w:instrText>
      </w:r>
      <w:r w:rsidR="00DB7B54">
        <w:rPr>
          <w:rFonts w:cstheme="minorHAnsi"/>
        </w:rPr>
        <w:fldChar w:fldCharType="separate"/>
      </w:r>
      <w:r w:rsidR="00DB7B54" w:rsidRPr="00DB7B54">
        <w:rPr>
          <w:rFonts w:ascii="Calibri" w:hAnsi="Calibri" w:cs="Calibri"/>
        </w:rPr>
        <w:t>(3)</w:t>
      </w:r>
      <w:r w:rsidR="00DB7B54">
        <w:rPr>
          <w:rFonts w:cstheme="minorHAnsi"/>
        </w:rPr>
        <w:fldChar w:fldCharType="end"/>
      </w:r>
      <w:r>
        <w:rPr>
          <w:rFonts w:cstheme="minorHAnsi"/>
        </w:rPr>
        <w:t>. It was assumed the uniform temperature distribution was due to a brief period of stirring after the heating process ended, which caused a slight lowering of the temperature. It was also assumed that the solution was 100% pure sugar.</w:t>
      </w:r>
      <w:r w:rsidR="00BA519C">
        <w:rPr>
          <w:rFonts w:cstheme="minorHAnsi"/>
        </w:rPr>
        <w:t xml:space="preserve"> There are no chemical reactions in the system.</w:t>
      </w:r>
    </w:p>
    <w:p w14:paraId="74CCCE2B" w14:textId="2BF170DF" w:rsidR="00674E07" w:rsidRDefault="00674E07" w:rsidP="00716F7E">
      <w:pPr>
        <w:rPr>
          <w:rFonts w:cstheme="minorHAnsi"/>
        </w:rPr>
      </w:pPr>
      <w:r>
        <w:rPr>
          <w:rFonts w:cstheme="minorHAnsi"/>
        </w:rPr>
        <w:t>The height of the system was assumed to be 25 cm, which is a medium-sized pot for home use.</w:t>
      </w:r>
    </w:p>
    <w:p w14:paraId="0C9EF1F9" w14:textId="5CD900D1" w:rsidR="00674E07" w:rsidRDefault="00674E07" w:rsidP="00674E07">
      <w:pPr>
        <w:jc w:val="center"/>
        <w:rPr>
          <w:rFonts w:cstheme="minorHAnsi"/>
        </w:rPr>
      </w:pPr>
      <w:r w:rsidRPr="00674E07">
        <w:rPr>
          <w:rFonts w:cstheme="minorHAnsi"/>
          <w:noProof/>
        </w:rPr>
        <w:drawing>
          <wp:inline distT="0" distB="0" distL="0" distR="0" wp14:anchorId="37A7FCA4" wp14:editId="24ABF67E">
            <wp:extent cx="2940553" cy="1892275"/>
            <wp:effectExtent l="0" t="0" r="0" b="0"/>
            <wp:docPr id="1" name="Picture 1" descr="Applicatio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pplication&#10;&#10;Description automatically generated with low confidence"/>
                    <pic:cNvPicPr/>
                  </pic:nvPicPr>
                  <pic:blipFill>
                    <a:blip r:embed="rId4"/>
                    <a:stretch>
                      <a:fillRect/>
                    </a:stretch>
                  </pic:blipFill>
                  <pic:spPr>
                    <a:xfrm>
                      <a:off x="0" y="0"/>
                      <a:ext cx="2954884" cy="1901497"/>
                    </a:xfrm>
                    <a:prstGeom prst="rect">
                      <a:avLst/>
                    </a:prstGeom>
                  </pic:spPr>
                </pic:pic>
              </a:graphicData>
            </a:graphic>
          </wp:inline>
        </w:drawing>
      </w:r>
    </w:p>
    <w:p w14:paraId="0C013343" w14:textId="76A4A9CF" w:rsidR="00674E07" w:rsidRDefault="00674E07" w:rsidP="00674E07">
      <w:pPr>
        <w:rPr>
          <w:rFonts w:cstheme="minorHAnsi"/>
        </w:rPr>
      </w:pPr>
      <w:r>
        <w:rPr>
          <w:rFonts w:cstheme="minorHAnsi"/>
        </w:rPr>
        <w:lastRenderedPageBreak/>
        <w:t>Simplifying</w:t>
      </w:r>
      <w:r w:rsidR="00BA519C">
        <w:rPr>
          <w:rFonts w:cstheme="minorHAnsi"/>
        </w:rPr>
        <w:t xml:space="preserve"> the heat equation</w:t>
      </w:r>
    </w:p>
    <w:p w14:paraId="26136EC0" w14:textId="2F30693A" w:rsidR="00BA519C" w:rsidRDefault="002C16BE" w:rsidP="00674E07">
      <w:pPr>
        <w:rPr>
          <w:rFonts w:cstheme="minorHAnsi"/>
        </w:rPr>
      </w:pPr>
      <m:oMathPara>
        <m:oMath>
          <m:f>
            <m:fPr>
              <m:ctrlPr>
                <w:rPr>
                  <w:rFonts w:ascii="Cambria Math" w:hAnsi="Cambria Math" w:cstheme="minorHAnsi"/>
                  <w:i/>
                </w:rPr>
              </m:ctrlPr>
            </m:fPr>
            <m:num>
              <m:r>
                <w:rPr>
                  <w:rFonts w:ascii="Cambria Math" w:hAnsi="Cambria Math" w:cstheme="minorHAnsi"/>
                </w:rPr>
                <m:t>∂T</m:t>
              </m:r>
            </m:num>
            <m:den>
              <m:r>
                <w:rPr>
                  <w:rFonts w:ascii="Cambria Math" w:hAnsi="Cambria Math" w:cstheme="minorHAnsi"/>
                </w:rPr>
                <m:t>∂t</m:t>
              </m:r>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k</m:t>
              </m:r>
            </m:num>
            <m:den>
              <m:r>
                <w:rPr>
                  <w:rFonts w:ascii="Cambria Math" w:hAnsi="Cambria Math" w:cstheme="minorHAnsi"/>
                </w:rPr>
                <m:t>ρ</m:t>
              </m:r>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p</m:t>
                  </m:r>
                </m:sub>
              </m:sSub>
            </m:den>
          </m:f>
          <m:d>
            <m:dPr>
              <m:ctrlPr>
                <w:rPr>
                  <w:rFonts w:ascii="Cambria Math" w:hAnsi="Cambria Math" w:cstheme="minorHAnsi"/>
                  <w:i/>
                </w:rPr>
              </m:ctrlPr>
            </m:dPr>
            <m:e>
              <m:f>
                <m:fPr>
                  <m:ctrlPr>
                    <w:rPr>
                      <w:rFonts w:ascii="Cambria Math" w:hAnsi="Cambria Math" w:cstheme="minorHAnsi"/>
                      <w:i/>
                    </w:rPr>
                  </m:ctrlPr>
                </m:fPr>
                <m:num>
                  <m:sSup>
                    <m:sSupPr>
                      <m:ctrlPr>
                        <w:rPr>
                          <w:rFonts w:ascii="Cambria Math" w:hAnsi="Cambria Math" w:cstheme="minorHAnsi"/>
                          <w:i/>
                        </w:rPr>
                      </m:ctrlPr>
                    </m:sSupPr>
                    <m:e>
                      <m:r>
                        <w:rPr>
                          <w:rFonts w:ascii="Cambria Math" w:hAnsi="Cambria Math" w:cstheme="minorHAnsi"/>
                        </w:rPr>
                        <m:t>∂</m:t>
                      </m:r>
                    </m:e>
                    <m:sup>
                      <m:r>
                        <w:rPr>
                          <w:rFonts w:ascii="Cambria Math" w:hAnsi="Cambria Math" w:cstheme="minorHAnsi"/>
                        </w:rPr>
                        <m:t>2</m:t>
                      </m:r>
                    </m:sup>
                  </m:sSup>
                  <m:r>
                    <w:rPr>
                      <w:rFonts w:ascii="Cambria Math" w:hAnsi="Cambria Math" w:cstheme="minorHAnsi"/>
                    </w:rPr>
                    <m:t>x</m:t>
                  </m:r>
                </m:num>
                <m:den>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x</m:t>
                      </m:r>
                    </m:e>
                    <m:sup>
                      <m:r>
                        <w:rPr>
                          <w:rFonts w:ascii="Cambria Math" w:hAnsi="Cambria Math" w:cstheme="minorHAnsi"/>
                        </w:rPr>
                        <m:t>2</m:t>
                      </m:r>
                    </m:sup>
                  </m:sSup>
                </m:den>
              </m:f>
              <m:r>
                <w:rPr>
                  <w:rFonts w:ascii="Cambria Math" w:hAnsi="Cambria Math" w:cstheme="minorHAnsi"/>
                </w:rPr>
                <m:t>+</m:t>
              </m:r>
              <m:f>
                <m:fPr>
                  <m:ctrlPr>
                    <w:rPr>
                      <w:rFonts w:ascii="Cambria Math" w:hAnsi="Cambria Math" w:cstheme="minorHAnsi"/>
                      <w:i/>
                    </w:rPr>
                  </m:ctrlPr>
                </m:fPr>
                <m:num>
                  <m:sSup>
                    <m:sSupPr>
                      <m:ctrlPr>
                        <w:rPr>
                          <w:rFonts w:ascii="Cambria Math" w:hAnsi="Cambria Math" w:cstheme="minorHAnsi"/>
                          <w:i/>
                        </w:rPr>
                      </m:ctrlPr>
                    </m:sSupPr>
                    <m:e>
                      <m:r>
                        <w:rPr>
                          <w:rFonts w:ascii="Cambria Math" w:hAnsi="Cambria Math" w:cstheme="minorHAnsi"/>
                        </w:rPr>
                        <m:t>∂</m:t>
                      </m:r>
                    </m:e>
                    <m:sup>
                      <m:r>
                        <w:rPr>
                          <w:rFonts w:ascii="Cambria Math" w:hAnsi="Cambria Math" w:cstheme="minorHAnsi"/>
                        </w:rPr>
                        <m:t>2</m:t>
                      </m:r>
                    </m:sup>
                  </m:sSup>
                  <m:r>
                    <w:rPr>
                      <w:rFonts w:ascii="Cambria Math" w:hAnsi="Cambria Math" w:cstheme="minorHAnsi"/>
                    </w:rPr>
                    <m:t>y</m:t>
                  </m:r>
                </m:num>
                <m:den>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y</m:t>
                      </m:r>
                    </m:e>
                    <m:sup>
                      <m:r>
                        <w:rPr>
                          <w:rFonts w:ascii="Cambria Math" w:hAnsi="Cambria Math" w:cstheme="minorHAnsi"/>
                        </w:rPr>
                        <m:t>2</m:t>
                      </m:r>
                    </m:sup>
                  </m:sSup>
                </m:den>
              </m:f>
              <m:r>
                <w:rPr>
                  <w:rFonts w:ascii="Cambria Math" w:hAnsi="Cambria Math" w:cstheme="minorHAnsi"/>
                </w:rPr>
                <m:t>+</m:t>
              </m:r>
              <m:f>
                <m:fPr>
                  <m:ctrlPr>
                    <w:rPr>
                      <w:rFonts w:ascii="Cambria Math" w:hAnsi="Cambria Math" w:cstheme="minorHAnsi"/>
                      <w:i/>
                    </w:rPr>
                  </m:ctrlPr>
                </m:fPr>
                <m:num>
                  <m:sSup>
                    <m:sSupPr>
                      <m:ctrlPr>
                        <w:rPr>
                          <w:rFonts w:ascii="Cambria Math" w:hAnsi="Cambria Math" w:cstheme="minorHAnsi"/>
                          <w:i/>
                        </w:rPr>
                      </m:ctrlPr>
                    </m:sSupPr>
                    <m:e>
                      <m:r>
                        <w:rPr>
                          <w:rFonts w:ascii="Cambria Math" w:hAnsi="Cambria Math" w:cstheme="minorHAnsi"/>
                        </w:rPr>
                        <m:t>∂</m:t>
                      </m:r>
                    </m:e>
                    <m:sup>
                      <m:r>
                        <w:rPr>
                          <w:rFonts w:ascii="Cambria Math" w:hAnsi="Cambria Math" w:cstheme="minorHAnsi"/>
                        </w:rPr>
                        <m:t>2</m:t>
                      </m:r>
                    </m:sup>
                  </m:sSup>
                  <m:r>
                    <w:rPr>
                      <w:rFonts w:ascii="Cambria Math" w:hAnsi="Cambria Math" w:cstheme="minorHAnsi"/>
                    </w:rPr>
                    <m:t>z</m:t>
                  </m:r>
                </m:num>
                <m:den>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z</m:t>
                      </m:r>
                    </m:e>
                    <m:sup>
                      <m:r>
                        <w:rPr>
                          <w:rFonts w:ascii="Cambria Math" w:hAnsi="Cambria Math" w:cstheme="minorHAnsi"/>
                        </w:rPr>
                        <m:t>2</m:t>
                      </m:r>
                    </m:sup>
                  </m:sSup>
                </m:den>
              </m:f>
            </m:e>
          </m:d>
          <m:r>
            <w:rPr>
              <w:rFonts w:ascii="Cambria Math" w:hAnsi="Cambria Math" w:cstheme="minorHAnsi"/>
            </w:rPr>
            <m:t>+</m:t>
          </m:r>
          <m:f>
            <m:fPr>
              <m:ctrlPr>
                <w:rPr>
                  <w:rFonts w:ascii="Cambria Math" w:hAnsi="Cambria Math" w:cstheme="minorHAnsi"/>
                  <w:i/>
                </w:rPr>
              </m:ctrlPr>
            </m:fPr>
            <m:num>
              <m:acc>
                <m:accPr>
                  <m:chr m:val="̇"/>
                  <m:ctrlPr>
                    <w:rPr>
                      <w:rFonts w:ascii="Cambria Math" w:hAnsi="Cambria Math" w:cstheme="minorHAnsi"/>
                      <w:i/>
                    </w:rPr>
                  </m:ctrlPr>
                </m:accPr>
                <m:e>
                  <m:r>
                    <w:rPr>
                      <w:rFonts w:ascii="Cambria Math" w:hAnsi="Cambria Math" w:cstheme="minorHAnsi"/>
                    </w:rPr>
                    <m:t>q</m:t>
                  </m:r>
                </m:e>
              </m:acc>
            </m:num>
            <m:den>
              <m:r>
                <w:rPr>
                  <w:rFonts w:ascii="Cambria Math" w:hAnsi="Cambria Math" w:cstheme="minorHAnsi"/>
                </w:rPr>
                <m:t>ρ</m:t>
              </m:r>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p</m:t>
                  </m:r>
                </m:sub>
              </m:sSub>
            </m:den>
          </m:f>
          <m:r>
            <w:rPr>
              <w:rFonts w:ascii="Cambria Math" w:hAnsi="Cambria Math" w:cstheme="minorHAnsi"/>
            </w:rPr>
            <m:t xml:space="preserve"> </m:t>
          </m:r>
        </m:oMath>
      </m:oMathPara>
    </w:p>
    <w:p w14:paraId="0EB1DE4A" w14:textId="344E5921" w:rsidR="00674E07" w:rsidRDefault="00674E07" w:rsidP="00674E07">
      <w:pPr>
        <w:rPr>
          <w:rFonts w:cstheme="minorHAnsi"/>
        </w:rPr>
      </w:pPr>
      <w:r>
        <w:rPr>
          <w:rFonts w:cstheme="minorHAnsi"/>
        </w:rPr>
        <w:t>The model determined was then:</w:t>
      </w:r>
    </w:p>
    <w:p w14:paraId="18A1C059" w14:textId="40B73AEB" w:rsidR="00C54CB0" w:rsidRPr="00BA519C" w:rsidRDefault="002C16BE" w:rsidP="00716F7E">
      <w:pPr>
        <w:rPr>
          <w:rFonts w:eastAsiaTheme="minorEastAsia"/>
        </w:rPr>
      </w:pPr>
      <m:oMathPara>
        <m:oMath>
          <m:f>
            <m:fPr>
              <m:ctrlPr>
                <w:rPr>
                  <w:rFonts w:ascii="Cambria Math" w:hAnsi="Cambria Math" w:cstheme="minorHAnsi"/>
                  <w:i/>
                </w:rPr>
              </m:ctrlPr>
            </m:fPr>
            <m:num>
              <m:r>
                <w:rPr>
                  <w:rFonts w:ascii="Cambria Math" w:hAnsi="Cambria Math" w:cstheme="minorHAnsi"/>
                </w:rPr>
                <m:t>∂T</m:t>
              </m:r>
            </m:num>
            <m:den>
              <m:r>
                <w:rPr>
                  <w:rFonts w:ascii="Cambria Math" w:hAnsi="Cambria Math" w:cstheme="minorHAnsi"/>
                </w:rPr>
                <m:t>∂t</m:t>
              </m:r>
            </m:den>
          </m:f>
          <m:r>
            <w:rPr>
              <w:rFonts w:ascii="Cambria Math" w:hAnsi="Cambria Math" w:cstheme="minorHAnsi"/>
            </w:rPr>
            <m:t>=</m:t>
          </m:r>
          <m:f>
            <m:fPr>
              <m:ctrlPr>
                <w:rPr>
                  <w:rFonts w:ascii="Cambria Math" w:hAnsi="Cambria Math" w:cstheme="minorHAnsi"/>
                  <w:i/>
                </w:rPr>
              </m:ctrlPr>
            </m:fPr>
            <m:num>
              <m:r>
                <w:rPr>
                  <w:rFonts w:ascii="Cambria Math" w:hAnsi="Cambria Math" w:cstheme="minorHAnsi"/>
                </w:rPr>
                <m:t>k</m:t>
              </m:r>
            </m:num>
            <m:den>
              <m:r>
                <w:rPr>
                  <w:rFonts w:ascii="Cambria Math" w:hAnsi="Cambria Math" w:cstheme="minorHAnsi"/>
                </w:rPr>
                <m:t>ρ</m:t>
              </m:r>
              <m:sSub>
                <m:sSubPr>
                  <m:ctrlPr>
                    <w:rPr>
                      <w:rFonts w:ascii="Cambria Math" w:hAnsi="Cambria Math" w:cstheme="minorHAnsi"/>
                      <w:i/>
                    </w:rPr>
                  </m:ctrlPr>
                </m:sSubPr>
                <m:e>
                  <m:r>
                    <w:rPr>
                      <w:rFonts w:ascii="Cambria Math" w:hAnsi="Cambria Math" w:cstheme="minorHAnsi"/>
                    </w:rPr>
                    <m:t>C</m:t>
                  </m:r>
                </m:e>
                <m:sub>
                  <m:r>
                    <w:rPr>
                      <w:rFonts w:ascii="Cambria Math" w:hAnsi="Cambria Math" w:cstheme="minorHAnsi"/>
                    </w:rPr>
                    <m:t>p</m:t>
                  </m:r>
                </m:sub>
              </m:sSub>
            </m:den>
          </m:f>
          <m:d>
            <m:dPr>
              <m:ctrlPr>
                <w:rPr>
                  <w:rFonts w:ascii="Cambria Math" w:hAnsi="Cambria Math" w:cstheme="minorHAnsi"/>
                  <w:i/>
                </w:rPr>
              </m:ctrlPr>
            </m:dPr>
            <m:e>
              <m:f>
                <m:fPr>
                  <m:ctrlPr>
                    <w:rPr>
                      <w:rFonts w:ascii="Cambria Math" w:hAnsi="Cambria Math" w:cstheme="minorHAnsi"/>
                      <w:i/>
                    </w:rPr>
                  </m:ctrlPr>
                </m:fPr>
                <m:num>
                  <m:sSup>
                    <m:sSupPr>
                      <m:ctrlPr>
                        <w:rPr>
                          <w:rFonts w:ascii="Cambria Math" w:hAnsi="Cambria Math" w:cstheme="minorHAnsi"/>
                          <w:i/>
                        </w:rPr>
                      </m:ctrlPr>
                    </m:sSupPr>
                    <m:e>
                      <m:r>
                        <w:rPr>
                          <w:rFonts w:ascii="Cambria Math" w:hAnsi="Cambria Math" w:cstheme="minorHAnsi"/>
                        </w:rPr>
                        <m:t>∂</m:t>
                      </m:r>
                    </m:e>
                    <m:sup>
                      <m:r>
                        <w:rPr>
                          <w:rFonts w:ascii="Cambria Math" w:hAnsi="Cambria Math" w:cstheme="minorHAnsi"/>
                        </w:rPr>
                        <m:t>2</m:t>
                      </m:r>
                    </m:sup>
                  </m:sSup>
                  <m:r>
                    <w:rPr>
                      <w:rFonts w:ascii="Cambria Math" w:hAnsi="Cambria Math" w:cstheme="minorHAnsi"/>
                    </w:rPr>
                    <m:t>y</m:t>
                  </m:r>
                </m:num>
                <m:den>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y</m:t>
                      </m:r>
                    </m:e>
                    <m:sup>
                      <m:r>
                        <w:rPr>
                          <w:rFonts w:ascii="Cambria Math" w:hAnsi="Cambria Math" w:cstheme="minorHAnsi"/>
                        </w:rPr>
                        <m:t>2</m:t>
                      </m:r>
                    </m:sup>
                  </m:sSup>
                </m:den>
              </m:f>
            </m:e>
          </m:d>
        </m:oMath>
      </m:oMathPara>
    </w:p>
    <w:p w14:paraId="505C0D41" w14:textId="58FC0396" w:rsidR="00BA519C" w:rsidRDefault="00BA519C" w:rsidP="00716F7E">
      <w:pPr>
        <w:rPr>
          <w:rFonts w:eastAsiaTheme="minorEastAsia"/>
        </w:rPr>
      </w:pPr>
      <w:r>
        <w:rPr>
          <w:rFonts w:eastAsiaTheme="minorEastAsia"/>
        </w:rPr>
        <w:t>With boundary conditions</w:t>
      </w:r>
    </w:p>
    <w:p w14:paraId="5722858E" w14:textId="67B87592" w:rsidR="00BA519C" w:rsidRPr="00DB7B54" w:rsidRDefault="00DB7B54" w:rsidP="00716F7E">
      <w:pPr>
        <w:rPr>
          <w:rFonts w:eastAsiaTheme="minorEastAsia"/>
        </w:rPr>
      </w:pPr>
      <m:oMathPara>
        <m:oMath>
          <m:r>
            <w:rPr>
              <w:rFonts w:ascii="Cambria Math" w:hAnsi="Cambria Math"/>
            </w:rPr>
            <m:t>T</m:t>
          </m:r>
          <m:d>
            <m:dPr>
              <m:ctrlPr>
                <w:rPr>
                  <w:rFonts w:ascii="Cambria Math" w:hAnsi="Cambria Math"/>
                  <w:i/>
                </w:rPr>
              </m:ctrlPr>
            </m:dPr>
            <m:e>
              <m:r>
                <w:rPr>
                  <w:rFonts w:ascii="Cambria Math" w:hAnsi="Cambria Math"/>
                </w:rPr>
                <m:t>y,0</m:t>
              </m:r>
            </m:e>
          </m:d>
          <m:r>
            <w:rPr>
              <w:rFonts w:ascii="Cambria Math" w:hAnsi="Cambria Math"/>
            </w:rPr>
            <m:t>=140°C</m:t>
          </m:r>
        </m:oMath>
      </m:oMathPara>
    </w:p>
    <w:p w14:paraId="53F60A8D" w14:textId="7C3047B8" w:rsidR="00DB7B54" w:rsidRPr="00DB7B54" w:rsidRDefault="00DB7B54" w:rsidP="00DB7B54">
      <w:pPr>
        <w:rPr>
          <w:rFonts w:eastAsiaTheme="minorEastAsia"/>
        </w:rPr>
      </w:pPr>
      <m:oMathPara>
        <m:oMath>
          <m:r>
            <w:rPr>
              <w:rFonts w:ascii="Cambria Math" w:hAnsi="Cambria Math"/>
            </w:rPr>
            <m:t>T</m:t>
          </m:r>
          <m:d>
            <m:dPr>
              <m:ctrlPr>
                <w:rPr>
                  <w:rFonts w:ascii="Cambria Math" w:hAnsi="Cambria Math"/>
                  <w:i/>
                </w:rPr>
              </m:ctrlPr>
            </m:dPr>
            <m:e>
              <m:r>
                <w:rPr>
                  <w:rFonts w:ascii="Cambria Math" w:hAnsi="Cambria Math"/>
                </w:rPr>
                <m:t>0,t</m:t>
              </m:r>
            </m:e>
          </m:d>
          <m:r>
            <w:rPr>
              <w:rFonts w:ascii="Cambria Math" w:hAnsi="Cambria Math"/>
            </w:rPr>
            <m:t>=25°C</m:t>
          </m:r>
        </m:oMath>
      </m:oMathPara>
    </w:p>
    <w:p w14:paraId="2A834027" w14:textId="26CD9B2E" w:rsidR="00DB7B54" w:rsidRPr="008B6666" w:rsidRDefault="00DB7B54" w:rsidP="00716F7E">
      <w:pPr>
        <w:rPr>
          <w:rFonts w:eastAsiaTheme="minorEastAsia"/>
        </w:rPr>
      </w:pPr>
      <m:oMathPara>
        <m:oMath>
          <m:r>
            <w:rPr>
              <w:rFonts w:ascii="Cambria Math" w:hAnsi="Cambria Math"/>
            </w:rPr>
            <m:t>T</m:t>
          </m:r>
          <m:d>
            <m:dPr>
              <m:ctrlPr>
                <w:rPr>
                  <w:rFonts w:ascii="Cambria Math" w:hAnsi="Cambria Math"/>
                  <w:i/>
                </w:rPr>
              </m:ctrlPr>
            </m:dPr>
            <m:e>
              <m:r>
                <w:rPr>
                  <w:rFonts w:ascii="Cambria Math" w:hAnsi="Cambria Math"/>
                </w:rPr>
                <m:t>h=0.25m,t</m:t>
              </m:r>
            </m:e>
          </m:d>
          <m:r>
            <w:rPr>
              <w:rFonts w:ascii="Cambria Math" w:hAnsi="Cambria Math"/>
            </w:rPr>
            <m:t>=25°C</m:t>
          </m:r>
        </m:oMath>
      </m:oMathPara>
    </w:p>
    <w:p w14:paraId="38C703CF" w14:textId="23B42639" w:rsidR="008B6666" w:rsidRDefault="008B6666" w:rsidP="00716F7E">
      <w:pPr>
        <w:rPr>
          <w:rFonts w:eastAsiaTheme="minorEastAsia"/>
        </w:rPr>
      </w:pPr>
      <w:r>
        <w:rPr>
          <w:rFonts w:eastAsiaTheme="minorEastAsia"/>
        </w:rPr>
        <w:t xml:space="preserve">The values of k, </w:t>
      </w:r>
      <w:r w:rsidRPr="008B6666">
        <w:rPr>
          <w:rFonts w:eastAsiaTheme="minorEastAsia"/>
        </w:rPr>
        <w:t>ρ</w:t>
      </w:r>
      <w:r>
        <w:rPr>
          <w:rFonts w:eastAsiaTheme="minorEastAsia"/>
        </w:rPr>
        <w:t xml:space="preserve"> and C</w:t>
      </w:r>
      <w:r>
        <w:rPr>
          <w:rFonts w:eastAsiaTheme="minorEastAsia"/>
          <w:vertAlign w:val="subscript"/>
        </w:rPr>
        <w:t>p</w:t>
      </w:r>
      <w:r>
        <w:rPr>
          <w:rFonts w:eastAsiaTheme="minorEastAsia"/>
        </w:rPr>
        <w:t xml:space="preserve"> were assumed to be constant and were found to be </w:t>
      </w:r>
      <w:r>
        <w:rPr>
          <w:rFonts w:eastAsiaTheme="minorEastAsia"/>
        </w:rPr>
        <w:fldChar w:fldCharType="begin"/>
      </w:r>
      <w:r>
        <w:rPr>
          <w:rFonts w:eastAsiaTheme="minorEastAsia"/>
        </w:rPr>
        <w:instrText xml:space="preserve"> ADDIN ZOTERO_ITEM CSL_CITATION {"citationID":"AfjoblbU","properties":{"formattedCitation":"(4)","plainCitation":"(4)","noteIndex":0},"citationItems":[{"id":221,"uris":["http://zotero.org/users/local/kryGmbTo/items/EXZW6G72"],"itemData":{"id":221,"type":"book","abstract":"Confectionery and chocolate manufacture has been dominated by large-scale industrial processing for several decades. It is often the case though, that a trial and error approach is applied to the development of new products and processes, rather than verified scientific principles. Confectionery and Chocolate Engineering: Principles and Applications, Second edition, adds to information presented in the first edition on essential topics such as food safety, quality assurance, sweets for special nutritional purposes, artizan chocolate, and confectioneries. In addition, information is provided on the fading memory of viscoelastic fluids, which are briefly discussed in terms of fractional calculus, and gelation as a second order phase transition. Chemical operations such as inversion, caramelization, and the Maillard reaction, as well as the complex operations including conching, drying, frying, baking, and roasting used in confectionery manufacture are also described. This book provides food engineers, scientists, technologists and students in research, industry, and food and chemical engineering-related courses with a scientific, theoretical description and analysis of confectionery manufacturing, opening up new possibilities for process and product improvement, relating to increased efficiency of operations, the use of new materials, and new applications for traditional raw materials.","ISBN":"978-1-118-93977-2","language":"en","note":"Google-Books-ID: 3a2GDQAAQBAJ","number-of-pages":"791","publisher":"John Wiley &amp; Sons","source":"Google Books","title":"Confectionery and Chocolate Engineering: Principles and Applications","title-short":"Confectionery and Chocolate Engineering","author":[{"family":"Mohos","given":"Ferenc A."}],"issued":{"date-parts":[["2017",2,6]]}}}],"schema":"https://github.com/citation-style-language/schema/raw/master/csl-citation.json"} </w:instrText>
      </w:r>
      <w:r>
        <w:rPr>
          <w:rFonts w:eastAsiaTheme="minorEastAsia"/>
        </w:rPr>
        <w:fldChar w:fldCharType="separate"/>
      </w:r>
      <w:r w:rsidRPr="008B6666">
        <w:rPr>
          <w:rFonts w:ascii="Calibri" w:hAnsi="Calibri" w:cs="Calibri"/>
        </w:rPr>
        <w:t>(4)</w:t>
      </w:r>
      <w:r>
        <w:rPr>
          <w:rFonts w:eastAsiaTheme="minorEastAsia"/>
        </w:rPr>
        <w:fldChar w:fldCharType="end"/>
      </w:r>
      <w:r>
        <w:rPr>
          <w:rFonts w:eastAsiaTheme="minorEastAsia"/>
        </w:rPr>
        <w:t>:</w:t>
      </w:r>
    </w:p>
    <w:tbl>
      <w:tblPr>
        <w:tblStyle w:val="TableGrid"/>
        <w:tblW w:w="0" w:type="auto"/>
        <w:tblLook w:val="04A0" w:firstRow="1" w:lastRow="0" w:firstColumn="1" w:lastColumn="0" w:noHBand="0" w:noVBand="1"/>
      </w:tblPr>
      <w:tblGrid>
        <w:gridCol w:w="2337"/>
        <w:gridCol w:w="2337"/>
        <w:gridCol w:w="2338"/>
        <w:gridCol w:w="2338"/>
      </w:tblGrid>
      <w:tr w:rsidR="008B6666" w14:paraId="311D5F2F" w14:textId="77777777" w:rsidTr="008B6666">
        <w:tc>
          <w:tcPr>
            <w:tcW w:w="2337" w:type="dxa"/>
          </w:tcPr>
          <w:p w14:paraId="6D67587E" w14:textId="644C047A" w:rsidR="008B6666" w:rsidRDefault="008B6666" w:rsidP="00716F7E">
            <w:pPr>
              <w:rPr>
                <w:rFonts w:eastAsiaTheme="minorEastAsia"/>
              </w:rPr>
            </w:pPr>
            <w:r>
              <w:rPr>
                <w:rFonts w:eastAsiaTheme="minorEastAsia"/>
              </w:rPr>
              <w:t>Constant</w:t>
            </w:r>
          </w:p>
        </w:tc>
        <w:tc>
          <w:tcPr>
            <w:tcW w:w="2337" w:type="dxa"/>
          </w:tcPr>
          <w:p w14:paraId="30BAD5C8" w14:textId="77777777" w:rsidR="008B6666" w:rsidRDefault="008B6666" w:rsidP="00716F7E">
            <w:pPr>
              <w:rPr>
                <w:rFonts w:eastAsiaTheme="minorEastAsia"/>
              </w:rPr>
            </w:pPr>
          </w:p>
        </w:tc>
        <w:tc>
          <w:tcPr>
            <w:tcW w:w="2338" w:type="dxa"/>
          </w:tcPr>
          <w:p w14:paraId="0AA8305A" w14:textId="77777777" w:rsidR="008B6666" w:rsidRDefault="008B6666" w:rsidP="00716F7E">
            <w:pPr>
              <w:rPr>
                <w:rFonts w:eastAsiaTheme="minorEastAsia"/>
              </w:rPr>
            </w:pPr>
          </w:p>
        </w:tc>
        <w:tc>
          <w:tcPr>
            <w:tcW w:w="2338" w:type="dxa"/>
          </w:tcPr>
          <w:p w14:paraId="7153A63D" w14:textId="77777777" w:rsidR="008B6666" w:rsidRDefault="008B6666" w:rsidP="00716F7E">
            <w:pPr>
              <w:rPr>
                <w:rFonts w:eastAsiaTheme="minorEastAsia"/>
              </w:rPr>
            </w:pPr>
          </w:p>
        </w:tc>
      </w:tr>
      <w:tr w:rsidR="008B6666" w14:paraId="6E2F1BEC" w14:textId="77777777" w:rsidTr="008B6666">
        <w:tc>
          <w:tcPr>
            <w:tcW w:w="2337" w:type="dxa"/>
          </w:tcPr>
          <w:p w14:paraId="4ED94CA4" w14:textId="275D7325" w:rsidR="008B6666" w:rsidRDefault="008B6666" w:rsidP="00716F7E">
            <w:pPr>
              <w:rPr>
                <w:rFonts w:eastAsiaTheme="minorEastAsia"/>
              </w:rPr>
            </w:pPr>
            <w:r>
              <w:rPr>
                <w:rFonts w:eastAsiaTheme="minorEastAsia"/>
              </w:rPr>
              <w:t>Value</w:t>
            </w:r>
          </w:p>
        </w:tc>
        <w:tc>
          <w:tcPr>
            <w:tcW w:w="2337" w:type="dxa"/>
          </w:tcPr>
          <w:p w14:paraId="015DFCC2" w14:textId="77777777" w:rsidR="008B6666" w:rsidRDefault="008B6666" w:rsidP="00716F7E">
            <w:pPr>
              <w:rPr>
                <w:rFonts w:eastAsiaTheme="minorEastAsia"/>
              </w:rPr>
            </w:pPr>
          </w:p>
        </w:tc>
        <w:tc>
          <w:tcPr>
            <w:tcW w:w="2338" w:type="dxa"/>
          </w:tcPr>
          <w:p w14:paraId="0DB65567" w14:textId="77777777" w:rsidR="008B6666" w:rsidRDefault="008B6666" w:rsidP="00716F7E">
            <w:pPr>
              <w:rPr>
                <w:rFonts w:eastAsiaTheme="minorEastAsia"/>
              </w:rPr>
            </w:pPr>
          </w:p>
        </w:tc>
        <w:tc>
          <w:tcPr>
            <w:tcW w:w="2338" w:type="dxa"/>
          </w:tcPr>
          <w:p w14:paraId="26F7095E" w14:textId="77777777" w:rsidR="008B6666" w:rsidRDefault="008B6666" w:rsidP="00716F7E">
            <w:pPr>
              <w:rPr>
                <w:rFonts w:eastAsiaTheme="minorEastAsia"/>
              </w:rPr>
            </w:pPr>
          </w:p>
        </w:tc>
      </w:tr>
    </w:tbl>
    <w:p w14:paraId="087D7A9C" w14:textId="77777777" w:rsidR="008B6666" w:rsidRPr="008B6666" w:rsidRDefault="008B6666" w:rsidP="00716F7E">
      <w:pPr>
        <w:rPr>
          <w:rFonts w:eastAsiaTheme="minorEastAsia"/>
        </w:rPr>
      </w:pPr>
    </w:p>
    <w:p w14:paraId="310329A5" w14:textId="47DAA04C" w:rsidR="00DB7B54" w:rsidRDefault="00DB7B54" w:rsidP="00DB7B54">
      <w:pPr>
        <w:pStyle w:val="Heading2"/>
        <w:rPr>
          <w:rFonts w:eastAsiaTheme="minorEastAsia"/>
        </w:rPr>
      </w:pPr>
      <w:r>
        <w:rPr>
          <w:rFonts w:eastAsiaTheme="minorEastAsia"/>
        </w:rPr>
        <w:t>Analytical Solution</w:t>
      </w:r>
    </w:p>
    <w:tbl>
      <w:tblPr>
        <w:tblStyle w:val="TableGrid"/>
        <w:tblW w:w="0" w:type="auto"/>
        <w:tblLook w:val="04A0" w:firstRow="1" w:lastRow="0" w:firstColumn="1" w:lastColumn="0" w:noHBand="0" w:noVBand="1"/>
      </w:tblPr>
      <w:tblGrid>
        <w:gridCol w:w="2337"/>
        <w:gridCol w:w="2337"/>
        <w:gridCol w:w="2338"/>
        <w:gridCol w:w="2338"/>
      </w:tblGrid>
      <w:tr w:rsidR="00396454" w14:paraId="4B257235" w14:textId="77777777" w:rsidTr="00396454">
        <w:tc>
          <w:tcPr>
            <w:tcW w:w="2337" w:type="dxa"/>
          </w:tcPr>
          <w:p w14:paraId="50BFCCB6" w14:textId="0A4F46D2" w:rsidR="00396454" w:rsidRDefault="00396454" w:rsidP="00396454">
            <w:r>
              <w:rPr>
                <w:noProof/>
              </w:rPr>
              <w:drawing>
                <wp:inline distT="0" distB="0" distL="0" distR="0" wp14:anchorId="1E5CA9E0" wp14:editId="55C677A1">
                  <wp:extent cx="1440000" cy="1440000"/>
                  <wp:effectExtent l="0" t="0" r="8255" b="8255"/>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inline>
              </w:drawing>
            </w:r>
          </w:p>
        </w:tc>
        <w:tc>
          <w:tcPr>
            <w:tcW w:w="2337" w:type="dxa"/>
          </w:tcPr>
          <w:p w14:paraId="691D3715" w14:textId="439C8F83" w:rsidR="00396454" w:rsidRDefault="00396454" w:rsidP="00396454">
            <w:r>
              <w:rPr>
                <w:noProof/>
              </w:rPr>
              <w:drawing>
                <wp:inline distT="0" distB="0" distL="0" distR="0" wp14:anchorId="683A776B" wp14:editId="69C0BF57">
                  <wp:extent cx="1440000" cy="1440000"/>
                  <wp:effectExtent l="0" t="0" r="8255" b="8255"/>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inline>
              </w:drawing>
            </w:r>
          </w:p>
        </w:tc>
        <w:tc>
          <w:tcPr>
            <w:tcW w:w="2338" w:type="dxa"/>
          </w:tcPr>
          <w:p w14:paraId="20D72016" w14:textId="4BDFEA34" w:rsidR="00396454" w:rsidRDefault="00396454" w:rsidP="00396454">
            <w:r>
              <w:rPr>
                <w:noProof/>
              </w:rPr>
              <w:drawing>
                <wp:inline distT="0" distB="0" distL="0" distR="0" wp14:anchorId="6828B916" wp14:editId="40997AB7">
                  <wp:extent cx="1440000" cy="1440000"/>
                  <wp:effectExtent l="0" t="0" r="8255" b="8255"/>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inline>
              </w:drawing>
            </w:r>
          </w:p>
        </w:tc>
        <w:tc>
          <w:tcPr>
            <w:tcW w:w="2338" w:type="dxa"/>
          </w:tcPr>
          <w:p w14:paraId="77F69E57" w14:textId="02AB482B" w:rsidR="00396454" w:rsidRDefault="00396454" w:rsidP="00396454">
            <w:r>
              <w:rPr>
                <w:noProof/>
              </w:rPr>
              <w:drawing>
                <wp:inline distT="0" distB="0" distL="0" distR="0" wp14:anchorId="7FFC4839" wp14:editId="0BC44F95">
                  <wp:extent cx="1440000" cy="1440000"/>
                  <wp:effectExtent l="0" t="0" r="8255" b="8255"/>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40000" cy="1440000"/>
                          </a:xfrm>
                          <a:prstGeom prst="rect">
                            <a:avLst/>
                          </a:prstGeom>
                        </pic:spPr>
                      </pic:pic>
                    </a:graphicData>
                  </a:graphic>
                </wp:inline>
              </w:drawing>
            </w:r>
          </w:p>
        </w:tc>
      </w:tr>
      <w:tr w:rsidR="00396454" w14:paraId="6AC883CC" w14:textId="77777777" w:rsidTr="00396454">
        <w:tc>
          <w:tcPr>
            <w:tcW w:w="2337" w:type="dxa"/>
          </w:tcPr>
          <w:p w14:paraId="769B25CE" w14:textId="4ABBBCA4" w:rsidR="00396454" w:rsidRDefault="00396454" w:rsidP="00396454">
            <w:r>
              <w:t>t=0 s</w:t>
            </w:r>
          </w:p>
        </w:tc>
        <w:tc>
          <w:tcPr>
            <w:tcW w:w="2337" w:type="dxa"/>
          </w:tcPr>
          <w:p w14:paraId="390645C6" w14:textId="11A2E936" w:rsidR="00396454" w:rsidRDefault="00396454" w:rsidP="00396454">
            <w:r>
              <w:t>t=100 s</w:t>
            </w:r>
          </w:p>
        </w:tc>
        <w:tc>
          <w:tcPr>
            <w:tcW w:w="2338" w:type="dxa"/>
          </w:tcPr>
          <w:p w14:paraId="40AF932C" w14:textId="7C18CC9F" w:rsidR="00396454" w:rsidRDefault="00396454" w:rsidP="00396454">
            <w:r>
              <w:t>t=1000 s</w:t>
            </w:r>
          </w:p>
        </w:tc>
        <w:tc>
          <w:tcPr>
            <w:tcW w:w="2338" w:type="dxa"/>
          </w:tcPr>
          <w:p w14:paraId="2AADDB73" w14:textId="61BEFF7A" w:rsidR="00396454" w:rsidRDefault="00396454" w:rsidP="00396454">
            <w:r>
              <w:t>t=1500 s</w:t>
            </w:r>
          </w:p>
        </w:tc>
      </w:tr>
    </w:tbl>
    <w:p w14:paraId="29447068" w14:textId="77777777" w:rsidR="00396454" w:rsidRPr="00396454" w:rsidRDefault="00396454" w:rsidP="00396454"/>
    <w:p w14:paraId="579EEBA4" w14:textId="6F531E7A" w:rsidR="00DB7B54" w:rsidRDefault="00DB7B54" w:rsidP="00DB7B54">
      <w:pPr>
        <w:pStyle w:val="Heading2"/>
      </w:pPr>
      <w:r>
        <w:lastRenderedPageBreak/>
        <w:t>Numerical Solution</w:t>
      </w:r>
    </w:p>
    <w:p w14:paraId="62C522C2" w14:textId="770A8248" w:rsidR="00396454" w:rsidRPr="00396454" w:rsidRDefault="00396454" w:rsidP="00396454">
      <w:r>
        <w:rPr>
          <w:noProof/>
        </w:rPr>
        <w:drawing>
          <wp:inline distT="0" distB="0" distL="0" distR="0" wp14:anchorId="6935010F" wp14:editId="12852DC7">
            <wp:extent cx="5943600" cy="32023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202305"/>
                    </a:xfrm>
                    <a:prstGeom prst="rect">
                      <a:avLst/>
                    </a:prstGeom>
                  </pic:spPr>
                </pic:pic>
              </a:graphicData>
            </a:graphic>
          </wp:inline>
        </w:drawing>
      </w:r>
    </w:p>
    <w:sectPr w:rsidR="00396454" w:rsidRPr="0039645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FFA"/>
    <w:rsid w:val="000A035E"/>
    <w:rsid w:val="001E0FFA"/>
    <w:rsid w:val="002C16BE"/>
    <w:rsid w:val="00396454"/>
    <w:rsid w:val="00560C19"/>
    <w:rsid w:val="00672A5E"/>
    <w:rsid w:val="00674E07"/>
    <w:rsid w:val="006B41B8"/>
    <w:rsid w:val="00716F7E"/>
    <w:rsid w:val="008B6666"/>
    <w:rsid w:val="008E767B"/>
    <w:rsid w:val="00A6208D"/>
    <w:rsid w:val="00BA519C"/>
    <w:rsid w:val="00C3164C"/>
    <w:rsid w:val="00C54CB0"/>
    <w:rsid w:val="00DB7B54"/>
    <w:rsid w:val="00E4771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C53DC"/>
  <w15:chartTrackingRefBased/>
  <w15:docId w15:val="{D5CF519B-6C84-4631-B5D1-392E72059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0F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B7B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0FFA"/>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674E07"/>
    <w:rPr>
      <w:color w:val="808080"/>
    </w:rPr>
  </w:style>
  <w:style w:type="character" w:customStyle="1" w:styleId="Heading2Char">
    <w:name w:val="Heading 2 Char"/>
    <w:basedOn w:val="DefaultParagraphFont"/>
    <w:link w:val="Heading2"/>
    <w:uiPriority w:val="9"/>
    <w:rsid w:val="00DB7B54"/>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8B66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3399</Words>
  <Characters>19376</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YuAn Chen</dc:creator>
  <cp:keywords/>
  <dc:description/>
  <cp:lastModifiedBy>YuAn Chen</cp:lastModifiedBy>
  <cp:revision>2</cp:revision>
  <dcterms:created xsi:type="dcterms:W3CDTF">2022-04-05T13:31:00Z</dcterms:created>
  <dcterms:modified xsi:type="dcterms:W3CDTF">2022-04-05T16:09:00Z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zotero-version="6.0.4"&gt;&lt;session id="llHyRfnZ"/&gt;&lt;style id="http://www.zotero.org/styles/vancouver" locale="en-US" hasBibliography="1" bibliographyStyleHasBeenSet="0"/&gt;&lt;prefs&gt;&lt;pref name="fieldType" value="Field"/&gt;&lt;pref name="automatic</vt:lpwstr>
  </property>
  <property fmtid="{D5CDD505-2E9C-101B-9397-08002B2CF9AE}" pid="3" name="ZOTERO_PREF_2">
    <vt:lpwstr>JournalAbbreviations" value="true"/&gt;&lt;/prefs&gt;&lt;/data&gt;</vt:lpwstr>
  </property>
</Properties>
</file>