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center"/>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DATA PROCESSING ADDENDUM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Data Processing Addendum (including its schedules)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Addendum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forms part of and is subject to the subscription agreement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Agreement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by and between Graphene Systems, Inc.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Graphene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the Customer identified in the Agreement. All capitalized terms that are not expressly defined in this Addendum will have the meanings given to them in the Agreement.</w:t>
      </w:r>
    </w:p>
    <w:p w:rsidR="00000000" w:rsidDel="00000000" w:rsidP="00000000" w:rsidRDefault="00000000" w:rsidRPr="00000000" w14:paraId="00000003">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Subject Matter and Duration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pStyle w:val="Heading2"/>
        <w:numPr>
          <w:ilvl w:val="1"/>
          <w:numId w:val="1"/>
        </w:numPr>
        <w:ind w:left="720" w:firstLine="0"/>
        <w:rPr>
          <w:b w:val="1"/>
          <w:bCs w:val="1"/>
        </w:rPr>
      </w:pPr>
      <w:bookmarkStart w:colFirst="0" w:colLast="0" w:name="_heading=h.wm4j168spi0v" w:id="0"/>
      <w:bookmarkEnd w:id="0"/>
      <w:r w:rsidDel="00000000" w:rsidR="00000000" w:rsidRPr="00000000">
        <w:rPr>
          <w:b w:val="1"/>
          <w:bCs w:val="1"/>
          <w:rtl w:val="0"/>
        </w:rPr>
        <w:t xml:space="preserve">Subject Matter</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This Addendum reflects the parties’ commitment to abide by Data Protection Laws concerning the Processing of Customer Personal Data in connection with Graphene’s provision of the Platform and any related services identified in the Agreement. If and to the extent language in this Addendum conflicts with the Agreement, this Addendum shall control.</w:t>
      </w:r>
      <w:r w:rsidDel="00000000" w:rsidR="00000000" w:rsidRPr="00000000">
        <w:rPr>
          <w:rtl w:val="0"/>
        </w:rPr>
      </w:r>
    </w:p>
    <w:p w:rsidR="00000000" w:rsidDel="00000000" w:rsidP="00000000" w:rsidRDefault="00000000" w:rsidRPr="00000000" w14:paraId="00000005">
      <w:pPr>
        <w:pStyle w:val="Heading2"/>
        <w:numPr>
          <w:ilvl w:val="1"/>
          <w:numId w:val="1"/>
        </w:numPr>
        <w:ind w:left="720" w:firstLine="0"/>
        <w:rPr>
          <w:b w:val="1"/>
          <w:bCs w:val="1"/>
        </w:rPr>
      </w:pPr>
      <w:r w:rsidDel="00000000" w:rsidR="00000000" w:rsidRPr="00000000">
        <w:rPr>
          <w:b w:val="1"/>
          <w:bCs w:val="1"/>
          <w:rtl w:val="0"/>
        </w:rPr>
        <w:t xml:space="preserve">Duration and Survival</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This Addendum will become legally binding upon the effective date of the Agreement or upon the date that the parties sign this Addendum if it is completed after the effective date of the Agreement. Graphene will Process Customer Personal Data until the relationship terminates as specified in the Agreement.</w:t>
      </w:r>
      <w:r w:rsidDel="00000000" w:rsidR="00000000" w:rsidRPr="00000000">
        <w:rPr>
          <w:rtl w:val="0"/>
        </w:rPr>
      </w:r>
    </w:p>
    <w:p w:rsidR="00000000" w:rsidDel="00000000" w:rsidP="00000000" w:rsidRDefault="00000000" w:rsidRPr="00000000" w14:paraId="0000000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Definitions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purposes of this Addendum, the following terms and those defined within the body of this Addendum apply.</w:t>
      </w:r>
    </w:p>
    <w:p w:rsidR="00000000" w:rsidDel="00000000" w:rsidP="00000000" w:rsidRDefault="00000000" w:rsidRPr="00000000" w14:paraId="00000007">
      <w:pPr>
        <w:pStyle w:val="Heading2"/>
        <w:numPr>
          <w:ilvl w:val="1"/>
          <w:numId w:val="1"/>
        </w:numPr>
        <w:ind w:left="720" w:firstLine="0"/>
        <w:rPr/>
      </w:pPr>
      <w:r w:rsidDel="00000000" w:rsidR="00000000" w:rsidRPr="00000000">
        <w:rPr>
          <w:rtl w:val="0"/>
        </w:rPr>
        <w:t xml:space="preserve">“</w:t>
      </w:r>
      <w:r w:rsidDel="00000000" w:rsidR="00000000" w:rsidRPr="00000000">
        <w:rPr>
          <w:b w:val="1"/>
          <w:bCs w:val="1"/>
          <w:rtl w:val="0"/>
        </w:rPr>
        <w:t xml:space="preserve">Customer Personal Data</w:t>
      </w:r>
      <w:r w:rsidDel="00000000" w:rsidR="00000000" w:rsidRPr="00000000">
        <w:rPr>
          <w:rtl w:val="0"/>
        </w:rPr>
        <w:t xml:space="preserve">” means Customer Content that is Personal Data Processed by Graphene on behalf of Customer.</w:t>
      </w:r>
    </w:p>
    <w:p w:rsidR="00000000" w:rsidDel="00000000" w:rsidP="00000000" w:rsidRDefault="00000000" w:rsidRPr="00000000" w14:paraId="00000008">
      <w:pPr>
        <w:pStyle w:val="Heading2"/>
        <w:numPr>
          <w:ilvl w:val="1"/>
          <w:numId w:val="1"/>
        </w:numPr>
        <w:ind w:left="720" w:firstLine="0"/>
        <w:rPr/>
      </w:pPr>
      <w:r w:rsidDel="00000000" w:rsidR="00000000" w:rsidRPr="00000000">
        <w:rPr>
          <w:rtl w:val="0"/>
        </w:rPr>
        <w:t xml:space="preserve">“</w:t>
      </w:r>
      <w:r w:rsidDel="00000000" w:rsidR="00000000" w:rsidRPr="00000000">
        <w:rPr>
          <w:b w:val="1"/>
          <w:bCs w:val="1"/>
          <w:rtl w:val="0"/>
        </w:rPr>
        <w:t xml:space="preserve">Data Protection Laws</w:t>
      </w:r>
      <w:r w:rsidDel="00000000" w:rsidR="00000000" w:rsidRPr="00000000">
        <w:rPr>
          <w:rtl w:val="0"/>
        </w:rPr>
        <w:t xml:space="preserve">” means the applicable privacy and data protection laws, rules and regulations to which the Customer Personal Data are subject. “Data Protection Laws” may include, but are not limited to, the California Consumer Privacy Act of 2018 (as amended by the California Privacy Rights Act) (“</w:t>
      </w:r>
      <w:r w:rsidDel="00000000" w:rsidR="00000000" w:rsidRPr="00000000">
        <w:rPr>
          <w:b w:val="1"/>
          <w:bCs w:val="1"/>
          <w:rtl w:val="0"/>
        </w:rPr>
        <w:t xml:space="preserve">CCPA</w:t>
      </w:r>
      <w:r w:rsidDel="00000000" w:rsidR="00000000" w:rsidRPr="00000000">
        <w:rPr>
          <w:rtl w:val="0"/>
        </w:rPr>
        <w:t xml:space="preserve">”); the EU General Data Protection Regulation 2016/679 (“</w:t>
      </w:r>
      <w:r w:rsidDel="00000000" w:rsidR="00000000" w:rsidRPr="00000000">
        <w:rPr>
          <w:b w:val="1"/>
          <w:bCs w:val="1"/>
          <w:rtl w:val="0"/>
        </w:rPr>
        <w:t xml:space="preserve">GDPR</w:t>
      </w:r>
      <w:r w:rsidDel="00000000" w:rsidR="00000000" w:rsidRPr="00000000">
        <w:rPr>
          <w:rtl w:val="0"/>
        </w:rPr>
        <w:t xml:space="preserve">”) and its respective national implementing legislations; the Swiss Federal Act on Data Protection; the United Kingdom General Data Protection Regulation; the United Kingdom Data Protection Act 2018; and other US federal and state legislation as applicable to the Platform.</w:t>
      </w:r>
    </w:p>
    <w:p w:rsidR="00000000" w:rsidDel="00000000" w:rsidP="00000000" w:rsidRDefault="00000000" w:rsidRPr="00000000" w14:paraId="00000009">
      <w:pPr>
        <w:pStyle w:val="Heading2"/>
        <w:numPr>
          <w:ilvl w:val="1"/>
          <w:numId w:val="1"/>
        </w:numPr>
        <w:ind w:left="720" w:firstLine="0"/>
        <w:rPr/>
      </w:pPr>
      <w:r w:rsidDel="00000000" w:rsidR="00000000" w:rsidRPr="00000000">
        <w:rPr>
          <w:rtl w:val="0"/>
        </w:rPr>
        <w:t xml:space="preserve">“</w:t>
      </w:r>
      <w:r w:rsidDel="00000000" w:rsidR="00000000" w:rsidRPr="00000000">
        <w:rPr>
          <w:b w:val="1"/>
          <w:bCs w:val="1"/>
          <w:rtl w:val="0"/>
        </w:rPr>
        <w:t xml:space="preserve">Personal Data</w:t>
      </w:r>
      <w:r w:rsidDel="00000000" w:rsidR="00000000" w:rsidRPr="00000000">
        <w:rPr>
          <w:rtl w:val="0"/>
        </w:rPr>
        <w:t xml:space="preserve">” has the meaning assigned to the term “personal data” or “personal information” under applicable Data Protection Laws.</w:t>
      </w:r>
    </w:p>
    <w:p w:rsidR="00000000" w:rsidDel="00000000" w:rsidP="00000000" w:rsidRDefault="00000000" w:rsidRPr="00000000" w14:paraId="0000000A">
      <w:pPr>
        <w:pStyle w:val="Heading2"/>
        <w:numPr>
          <w:ilvl w:val="1"/>
          <w:numId w:val="1"/>
        </w:numPr>
        <w:ind w:left="720" w:firstLine="0"/>
        <w:rPr/>
      </w:pPr>
      <w:r w:rsidDel="00000000" w:rsidR="00000000" w:rsidRPr="00000000">
        <w:rPr>
          <w:rtl w:val="0"/>
        </w:rPr>
        <w:t xml:space="preserve">“</w:t>
      </w:r>
      <w:r w:rsidDel="00000000" w:rsidR="00000000" w:rsidRPr="00000000">
        <w:rPr>
          <w:b w:val="1"/>
          <w:bCs w:val="1"/>
          <w:rtl w:val="0"/>
        </w:rPr>
        <w:t xml:space="preserve">Process</w:t>
      </w:r>
      <w:r w:rsidDel="00000000" w:rsidR="00000000" w:rsidRPr="00000000">
        <w:rPr>
          <w:rtl w:val="0"/>
        </w:rPr>
        <w:t xml:space="preserve">” or “</w:t>
      </w:r>
      <w:r w:rsidDel="00000000" w:rsidR="00000000" w:rsidRPr="00000000">
        <w:rPr>
          <w:b w:val="1"/>
          <w:bCs w:val="1"/>
          <w:rtl w:val="0"/>
        </w:rPr>
        <w:t xml:space="preserve">Processing</w:t>
      </w:r>
      <w:r w:rsidDel="00000000" w:rsidR="00000000" w:rsidRPr="00000000">
        <w:rPr>
          <w:rtl w:val="0"/>
        </w:rPr>
        <w:t xml:space="preserve">” means any operation or set of operations which is performed on Personal Data or sets of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rsidR="00000000" w:rsidDel="00000000" w:rsidP="00000000" w:rsidRDefault="00000000" w:rsidRPr="00000000" w14:paraId="0000000B">
      <w:pPr>
        <w:pStyle w:val="Heading2"/>
        <w:numPr>
          <w:ilvl w:val="1"/>
          <w:numId w:val="1"/>
        </w:numPr>
        <w:ind w:left="720" w:firstLine="0"/>
        <w:rPr/>
      </w:pPr>
      <w:r w:rsidDel="00000000" w:rsidR="00000000" w:rsidRPr="00000000">
        <w:rPr>
          <w:rtl w:val="0"/>
        </w:rPr>
        <w:t xml:space="preserve">“</w:t>
      </w:r>
      <w:r w:rsidDel="00000000" w:rsidR="00000000" w:rsidRPr="00000000">
        <w:rPr>
          <w:b w:val="1"/>
          <w:bCs w:val="1"/>
          <w:rtl w:val="0"/>
        </w:rPr>
        <w:t xml:space="preserve">Security Incident(s)</w:t>
      </w:r>
      <w:r w:rsidDel="00000000" w:rsidR="00000000" w:rsidRPr="00000000">
        <w:rPr>
          <w:rtl w:val="0"/>
        </w:rPr>
        <w:t xml:space="preserve">” means the breach of security leading to the accidental or unlawful destruction, loss, alteration, unauthorized disclosure of, or access to Customer Personal Data attributable to Graphene. </w:t>
      </w:r>
    </w:p>
    <w:p w:rsidR="00000000" w:rsidDel="00000000" w:rsidP="00000000" w:rsidRDefault="00000000" w:rsidRPr="00000000" w14:paraId="0000000C">
      <w:pPr>
        <w:pStyle w:val="Heading2"/>
        <w:numPr>
          <w:ilvl w:val="1"/>
          <w:numId w:val="1"/>
        </w:numPr>
        <w:ind w:left="720" w:firstLine="0"/>
        <w:rPr/>
      </w:pPr>
      <w:r w:rsidDel="00000000" w:rsidR="00000000" w:rsidRPr="00000000">
        <w:rPr>
          <w:rtl w:val="0"/>
        </w:rPr>
        <w:t xml:space="preserve">“</w:t>
      </w:r>
      <w:r w:rsidDel="00000000" w:rsidR="00000000" w:rsidRPr="00000000">
        <w:rPr>
          <w:b w:val="1"/>
          <w:bCs w:val="1"/>
          <w:rtl w:val="0"/>
        </w:rPr>
        <w:t xml:space="preserve">Subprocessor(s)</w:t>
      </w:r>
      <w:r w:rsidDel="00000000" w:rsidR="00000000" w:rsidRPr="00000000">
        <w:rPr>
          <w:rtl w:val="0"/>
        </w:rPr>
        <w:t xml:space="preserve">” means Graphene’s authorized vendors and third-party service providers that Process Customer Personal Data.</w:t>
      </w:r>
    </w:p>
    <w:p w:rsidR="00000000" w:rsidDel="00000000" w:rsidP="00000000" w:rsidRDefault="00000000" w:rsidRPr="00000000" w14:paraId="0000000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Processing Terms for Customer Personal Data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pStyle w:val="Heading2"/>
        <w:numPr>
          <w:ilvl w:val="1"/>
          <w:numId w:val="1"/>
        </w:numPr>
        <w:ind w:left="720" w:firstLine="0"/>
        <w:rPr/>
      </w:pPr>
      <w:r w:rsidDel="00000000" w:rsidR="00000000" w:rsidRPr="00000000">
        <w:rPr>
          <w:u w:val="single"/>
          <w:rtl w:val="0"/>
        </w:rPr>
        <w:t xml:space="preserve">Documented Instructions</w:t>
      </w:r>
      <w:r w:rsidDel="00000000" w:rsidR="00000000" w:rsidRPr="00000000">
        <w:rPr>
          <w:rtl w:val="0"/>
        </w:rPr>
        <w:t xml:space="preserve">. Graphene shall Process Customer Personal Data to provide the Platform in accordance with the Agreement, this Addendum, any applicable Order Form, Customer’s configuration of the Platform, and any instructions otherwise agreed upon by the parties. Graphene will, unless legally prohibited from doing so, inform Customer in writing if it reasonably believes that there is a conflict between Customer’s instructions and applicable law or otherwise seeks to Process Customer Personal Data in a manner that is inconsistent with Customer’s instructions.</w:t>
      </w:r>
    </w:p>
    <w:p w:rsidR="00000000" w:rsidDel="00000000" w:rsidP="00000000" w:rsidRDefault="00000000" w:rsidRPr="00000000" w14:paraId="0000000F">
      <w:pPr>
        <w:pStyle w:val="Heading2"/>
        <w:numPr>
          <w:ilvl w:val="1"/>
          <w:numId w:val="1"/>
        </w:numPr>
        <w:ind w:left="720" w:firstLine="0"/>
        <w:rPr/>
      </w:pPr>
      <w:r w:rsidDel="00000000" w:rsidR="00000000" w:rsidRPr="00000000">
        <w:rPr>
          <w:u w:val="single"/>
          <w:rtl w:val="0"/>
        </w:rPr>
        <w:t xml:space="preserve">Authorization to Use Subprocessors</w:t>
      </w:r>
      <w:r w:rsidDel="00000000" w:rsidR="00000000" w:rsidRPr="00000000">
        <w:rPr>
          <w:rtl w:val="0"/>
        </w:rPr>
        <w:t xml:space="preserve">. Customer hereby authorizes Graphene to engage Subprocessors. Graphene’s current Subprocessors are listed at https://trust.graphenedata.com/subprocessors. </w:t>
      </w:r>
    </w:p>
    <w:p w:rsidR="00000000" w:rsidDel="00000000" w:rsidP="00000000" w:rsidRDefault="00000000" w:rsidRPr="00000000" w14:paraId="00000010">
      <w:pPr>
        <w:pStyle w:val="Heading2"/>
        <w:numPr>
          <w:ilvl w:val="1"/>
          <w:numId w:val="1"/>
        </w:numPr>
        <w:ind w:left="720" w:firstLine="0"/>
        <w:rPr/>
      </w:pPr>
      <w:r w:rsidDel="00000000" w:rsidR="00000000" w:rsidRPr="00000000">
        <w:rPr>
          <w:u w:val="single"/>
          <w:rtl w:val="0"/>
        </w:rPr>
        <w:t xml:space="preserve">Graphene and Subprocessor Compliance</w:t>
      </w:r>
      <w:r w:rsidDel="00000000" w:rsidR="00000000" w:rsidRPr="00000000">
        <w:rPr>
          <w:rtl w:val="0"/>
        </w:rPr>
        <w:t xml:space="preserve">. Graphene shall: (i) enter into a written agreement with each Subprocessor that imposes on it data protection requirements for Customer Personal Data that are consistent with this Addendum; and (ii) remain responsible to Customer for Subprocessors’ failure to perform their obligations with respect to the Processing of Customer Personal Data. </w:t>
      </w:r>
    </w:p>
    <w:p w:rsidR="00000000" w:rsidDel="00000000" w:rsidP="00000000" w:rsidRDefault="00000000" w:rsidRPr="00000000" w14:paraId="00000011">
      <w:pPr>
        <w:pStyle w:val="Heading2"/>
        <w:numPr>
          <w:ilvl w:val="1"/>
          <w:numId w:val="1"/>
        </w:numPr>
        <w:ind w:left="720" w:firstLine="0"/>
        <w:rPr/>
      </w:pPr>
      <w:r w:rsidDel="00000000" w:rsidR="00000000" w:rsidRPr="00000000">
        <w:rPr>
          <w:u w:val="single"/>
          <w:rtl w:val="0"/>
        </w:rPr>
        <w:t xml:space="preserve">Right to Object to Subprocessors</w:t>
      </w:r>
      <w:r w:rsidDel="00000000" w:rsidR="00000000" w:rsidRPr="00000000">
        <w:rPr>
          <w:rtl w:val="0"/>
        </w:rPr>
        <w:t xml:space="preserve">. Graphene will notify Customer via email prior to engaging any new Subprocessors that Process Customer Personal Data and allow Customer 10 days to object. If Customer has legitimate objections to the appointment of any new Subprocessor, the parties will work together in good faith to resolve the grounds for the objection.</w:t>
      </w:r>
    </w:p>
    <w:p w:rsidR="00000000" w:rsidDel="00000000" w:rsidP="00000000" w:rsidRDefault="00000000" w:rsidRPr="00000000" w14:paraId="00000012">
      <w:pPr>
        <w:pStyle w:val="Heading2"/>
        <w:numPr>
          <w:ilvl w:val="1"/>
          <w:numId w:val="1"/>
        </w:numPr>
        <w:ind w:left="720" w:firstLine="0"/>
        <w:rPr/>
      </w:pPr>
      <w:r w:rsidDel="00000000" w:rsidR="00000000" w:rsidRPr="00000000">
        <w:rPr>
          <w:u w:val="single"/>
          <w:rtl w:val="0"/>
        </w:rPr>
        <w:t xml:space="preserve">Confidentiality</w:t>
      </w:r>
      <w:r w:rsidDel="00000000" w:rsidR="00000000" w:rsidRPr="00000000">
        <w:rPr>
          <w:rtl w:val="0"/>
        </w:rPr>
        <w:t xml:space="preserve">. Any person authorized to Process Customer Personal Data must be subject to a duty of confidentiality, contractually agree to maintain the confidentiality of such information, or be under an appropriate statutory obligation of confidentiality. </w:t>
      </w:r>
    </w:p>
    <w:p w:rsidR="00000000" w:rsidDel="00000000" w:rsidP="00000000" w:rsidRDefault="00000000" w:rsidRPr="00000000" w14:paraId="00000013">
      <w:pPr>
        <w:pStyle w:val="Heading2"/>
        <w:numPr>
          <w:ilvl w:val="1"/>
          <w:numId w:val="1"/>
        </w:numPr>
        <w:ind w:left="720" w:firstLine="0"/>
        <w:rPr/>
      </w:pPr>
      <w:r w:rsidDel="00000000" w:rsidR="00000000" w:rsidRPr="00000000">
        <w:rPr>
          <w:u w:val="single"/>
          <w:rtl w:val="0"/>
        </w:rPr>
        <w:t xml:space="preserve">Personal Data Inquiries and Requests</w:t>
      </w:r>
      <w:r w:rsidDel="00000000" w:rsidR="00000000" w:rsidRPr="00000000">
        <w:rPr>
          <w:rtl w:val="0"/>
        </w:rPr>
        <w:t xml:space="preserve">. Where required by Data Protection Laws, Graphene agrees to provide reasonable assistance and comply with reasonable instructions from Customer related to any requests from individuals exercising their rights in Customer Personal Data granted to them under Data Protection Laws.</w:t>
      </w:r>
    </w:p>
    <w:p w:rsidR="00000000" w:rsidDel="00000000" w:rsidP="00000000" w:rsidRDefault="00000000" w:rsidRPr="00000000" w14:paraId="00000014">
      <w:pPr>
        <w:pStyle w:val="Heading2"/>
        <w:numPr>
          <w:ilvl w:val="1"/>
          <w:numId w:val="1"/>
        </w:numPr>
        <w:ind w:left="720" w:firstLine="0"/>
        <w:rPr/>
      </w:pPr>
      <w:r w:rsidDel="00000000" w:rsidR="00000000" w:rsidRPr="00000000">
        <w:rPr>
          <w:u w:val="single"/>
          <w:rtl w:val="0"/>
        </w:rPr>
        <w:t xml:space="preserve">Data Protection Assessment, Data Protection Impact Assessment, and Prior Consultation</w:t>
      </w:r>
      <w:r w:rsidDel="00000000" w:rsidR="00000000" w:rsidRPr="00000000">
        <w:rPr>
          <w:rtl w:val="0"/>
        </w:rPr>
        <w:t xml:space="preserve">. Where required by Data Protection Laws, Graphene agrees to provide reasonable assistance and information to Customer where, in Customer’s judgement, the type of Processing performed by Graphene requires a data protection assessment, data protection impact assessment, and/or prior consultation with the relevant data protection authorities. Customer shall reimburse Graphene for all non-negligible costs Graphene incurs in performing its obligations under this Section.</w:t>
      </w:r>
    </w:p>
    <w:p w:rsidR="00000000" w:rsidDel="00000000" w:rsidP="00000000" w:rsidRDefault="00000000" w:rsidRPr="00000000" w14:paraId="00000015">
      <w:pPr>
        <w:pStyle w:val="Heading2"/>
        <w:numPr>
          <w:ilvl w:val="1"/>
          <w:numId w:val="1"/>
        </w:numPr>
        <w:ind w:left="720" w:firstLine="0"/>
        <w:rPr/>
      </w:pPr>
      <w:r w:rsidDel="00000000" w:rsidR="00000000" w:rsidRPr="00000000">
        <w:rPr>
          <w:u w:val="single"/>
          <w:rtl w:val="0"/>
        </w:rPr>
        <w:t xml:space="preserve">Demonstrable Compliance</w:t>
      </w:r>
      <w:r w:rsidDel="00000000" w:rsidR="00000000" w:rsidRPr="00000000">
        <w:rPr>
          <w:rtl w:val="0"/>
        </w:rPr>
        <w:t xml:space="preserve">. Graphene agrees to provide information reasonably necessary to demonstrate compliance with this Addendum upon Customer’s reasonable request.</w:t>
      </w:r>
    </w:p>
    <w:p w:rsidR="00000000" w:rsidDel="00000000" w:rsidP="00000000" w:rsidRDefault="00000000" w:rsidRPr="00000000" w14:paraId="00000016">
      <w:pPr>
        <w:pStyle w:val="Heading2"/>
        <w:numPr>
          <w:ilvl w:val="1"/>
          <w:numId w:val="1"/>
        </w:numPr>
        <w:ind w:left="720" w:firstLine="0"/>
        <w:rPr/>
      </w:pPr>
      <w:r w:rsidDel="00000000" w:rsidR="00000000" w:rsidRPr="00000000">
        <w:rPr>
          <w:u w:val="single"/>
          <w:rtl w:val="0"/>
        </w:rPr>
        <w:t xml:space="preserve">Aggregation and De-Identification</w:t>
      </w:r>
      <w:r w:rsidDel="00000000" w:rsidR="00000000" w:rsidRPr="00000000">
        <w:rPr>
          <w:rtl w:val="0"/>
        </w:rPr>
        <w:t xml:space="preserve">. Graphene may: (i) compile aggregated and/or de-identified information in connection with providing the Platform provided that such information cannot reasonably be used to identify Customer or any data subject to whom Customer Personal Data relates (“</w:t>
      </w:r>
      <w:r w:rsidDel="00000000" w:rsidR="00000000" w:rsidRPr="00000000">
        <w:rPr>
          <w:b w:val="1"/>
          <w:bCs w:val="1"/>
          <w:rtl w:val="0"/>
        </w:rPr>
        <w:t xml:space="preserve">Aggregated and/or De-Identified Data</w:t>
      </w:r>
      <w:r w:rsidDel="00000000" w:rsidR="00000000" w:rsidRPr="00000000">
        <w:rPr>
          <w:rtl w:val="0"/>
        </w:rPr>
        <w:t xml:space="preserve">”); and (ii) use Aggregated and/or De-Identified Data for its lawful business purposes.</w:t>
      </w:r>
    </w:p>
    <w:p w:rsidR="00000000" w:rsidDel="00000000" w:rsidP="00000000" w:rsidRDefault="00000000" w:rsidRPr="00000000" w14:paraId="00000017">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California Specific Terms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the extent that Graphene’s Processing of Customer Personal Data is subject to the CCPA, this Section shall also apply. Customer discloses or otherwise makes available Customer Personal Data to Graphene for the limited and specific purpose of Graphene providing the Platform to Customer in accordance with the Agreement and this Addendum. Graphene shall: (i) comply with its applicable obligations under the CCPA; (ii) provide the same level of protection as required under the CCPA; (iii) notify Customer if it can no longer meet its obligations under the CCPA; (iv) not “sell” or “share” (as such terms are defined by the CCPA) Customer Personal Data; (v) not retain, use, or disclose Customer Personal Data for any purpose (including any commercial purpose) other than to provide the Platform in accordance with the Agreement or as otherwise permitted under the CCPA; (vi) not retain, use, or disclose Customer Personal Data outside of the direct business relationship between Customer and Graphene; and (vii) unless otherwise permitted by the CCPA, not combine Customer Personal Data with Personal Data that Graphene (a) receives from, or on behalf of, another person, or (b) collects from its own, independent consumer interaction. Customer may: (1) take reasonable and appropriate steps agreed upon by the parties to help ensure that Graphene Processes Customer Personal Data in a manner consistent with Customer’s CCPA obligations; and (2) upon notice, take reasonable and appropriate steps agreed upon by the parties to stop and remediate unauthorized Processing of Customer Personal Data by Graphene.</w:t>
      </w:r>
    </w:p>
    <w:p w:rsidR="00000000" w:rsidDel="00000000" w:rsidP="00000000" w:rsidRDefault="00000000" w:rsidRPr="00000000" w14:paraId="00000018">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roubenacjo8n" w:id="1"/>
      <w:bookmarkEnd w:id="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Information Security Program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Graphene shall implement and maintain reasonable administrative, technical, and physical safeguards designed to protect Customer Personal Data, as described on Schedule 2, to ensure a level of security appropriate to that risk, including, as appropriate, the measures referred to in Article 32(1) of the GDPR.</w:t>
      </w:r>
      <w:r w:rsidDel="00000000" w:rsidR="00000000" w:rsidRPr="00000000">
        <w:rPr>
          <w:rtl w:val="0"/>
        </w:rPr>
      </w:r>
    </w:p>
    <w:p w:rsidR="00000000" w:rsidDel="00000000" w:rsidP="00000000" w:rsidRDefault="00000000" w:rsidRPr="00000000" w14:paraId="00000019">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 Incidents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Upon becoming aware of a Security Incident, Graphene agrees to provide written notice without undue delay and within the time frame required under Data Protection Laws to Customer’s Designated POC. Where possible, such notice will include all available details required under Data Protection Laws for Customer to comply with its own notification obligations to regulatory authorities or individuals affected by the Security Incident. </w:t>
      </w:r>
      <w:r w:rsidDel="00000000" w:rsidR="00000000" w:rsidRPr="00000000">
        <w:rPr>
          <w:rtl w:val="0"/>
        </w:rPr>
      </w:r>
    </w:p>
    <w:p w:rsidR="00000000" w:rsidDel="00000000" w:rsidP="00000000" w:rsidRDefault="00000000" w:rsidRPr="00000000" w14:paraId="0000001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Cross-Border Transfers of Customer Personal Data. </w:t>
      </w:r>
    </w:p>
    <w:p w:rsidR="00000000" w:rsidDel="00000000" w:rsidP="00000000" w:rsidRDefault="00000000" w:rsidRPr="00000000" w14:paraId="0000001B">
      <w:pPr>
        <w:pStyle w:val="Heading2"/>
        <w:numPr>
          <w:ilvl w:val="1"/>
          <w:numId w:val="1"/>
        </w:numPr>
        <w:ind w:left="720" w:firstLine="0"/>
        <w:rPr/>
      </w:pPr>
      <w:r w:rsidDel="00000000" w:rsidR="00000000" w:rsidRPr="00000000">
        <w:rPr>
          <w:u w:val="single"/>
          <w:rtl w:val="0"/>
        </w:rPr>
        <w:t xml:space="preserve">Cross-Border Transfers of Customer Personal Data</w:t>
      </w:r>
      <w:r w:rsidDel="00000000" w:rsidR="00000000" w:rsidRPr="00000000">
        <w:rPr>
          <w:rtl w:val="0"/>
        </w:rPr>
        <w:t xml:space="preserve">. Customer authorizes Graphene and its Subprocessors to transfer Customer Personal Data across international borders, including from the European Economic Area, Switzerland, and/or the United Kingdom to the United States. </w:t>
      </w:r>
    </w:p>
    <w:p w:rsidR="00000000" w:rsidDel="00000000" w:rsidP="00000000" w:rsidRDefault="00000000" w:rsidRPr="00000000" w14:paraId="0000001C">
      <w:pPr>
        <w:pStyle w:val="Heading2"/>
        <w:numPr>
          <w:ilvl w:val="1"/>
          <w:numId w:val="1"/>
        </w:numPr>
        <w:ind w:left="720" w:firstLine="0"/>
        <w:rPr>
          <w:b w:val="1"/>
          <w:bCs w:val="1"/>
        </w:rPr>
      </w:pPr>
      <w:r w:rsidDel="00000000" w:rsidR="00000000" w:rsidRPr="00000000">
        <w:rPr>
          <w:u w:val="single"/>
          <w:rtl w:val="0"/>
        </w:rPr>
        <w:t xml:space="preserve">EEA, Swiss, and UK Standard Contractual Clauses</w:t>
      </w:r>
      <w:r w:rsidDel="00000000" w:rsidR="00000000" w:rsidRPr="00000000">
        <w:rPr>
          <w:rtl w:val="0"/>
        </w:rPr>
        <w:t xml:space="preserve">. If Customer Personal Data originating in the European Economic Area, Switzerland, and/or the United Kingdom is transferred by Customer to Graphene in a country that has not been found to provide an adequate level of protection under applicable Data Protection Laws, the parties agree that the transfer shall be governed by Module Two or Module Three’s obligations (as applicable) in the </w:t>
      </w:r>
      <w:hyperlink r:id="rId7">
        <w:r w:rsidDel="00000000" w:rsidR="00000000" w:rsidRPr="00000000">
          <w:rPr>
            <w:rFonts w:ascii="Calibri" w:cs="Calibri" w:eastAsia="Calibri" w:hAnsi="Calibri"/>
            <w:color w:val="0563c1"/>
            <w:u w:val="single"/>
            <w:rtl w:val="0"/>
          </w:rPr>
          <w:t xml:space="preserve">Annex to the Commission Implementing Decision (EU) 2021/914 of 4 June 2021 on standard contractual clauses for the transfer of personal data to third countries pursuant to Regulation (EU) 2016/679 of the European Parliament and of the Council</w:t>
        </w:r>
      </w:hyperlink>
      <w:r w:rsidDel="00000000" w:rsidR="00000000" w:rsidRPr="00000000">
        <w:rPr>
          <w:rtl w:val="0"/>
        </w:rPr>
        <w:t xml:space="preserve"> (“</w:t>
      </w:r>
      <w:r w:rsidDel="00000000" w:rsidR="00000000" w:rsidRPr="00000000">
        <w:rPr>
          <w:b w:val="1"/>
          <w:bCs w:val="1"/>
          <w:rtl w:val="0"/>
        </w:rPr>
        <w:t xml:space="preserve">Standard Contractual Clauses</w:t>
      </w:r>
      <w:r w:rsidDel="00000000" w:rsidR="00000000" w:rsidRPr="00000000">
        <w:rPr>
          <w:rtl w:val="0"/>
        </w:rPr>
        <w:t xml:space="preserve">”) as supplemented by </w:t>
      </w:r>
      <w:r w:rsidDel="00000000" w:rsidR="00000000" w:rsidRPr="00000000">
        <w:rPr>
          <w:b w:val="1"/>
          <w:bCs w:val="1"/>
          <w:u w:val="single"/>
          <w:rtl w:val="0"/>
        </w:rPr>
        <w:t xml:space="preserve">Schedule 1</w:t>
      </w:r>
      <w:r w:rsidDel="00000000" w:rsidR="00000000" w:rsidRPr="00000000">
        <w:rPr>
          <w:rtl w:val="0"/>
        </w:rPr>
        <w:t xml:space="preserve"> attached hereto, the terms of which are incorporated herein by reference. Each party’s signature to this Addendum shall be considered a signature to the Standard Contractual Clauses to the extent that the Standard Contractual Clauses apply hereunder.</w:t>
      </w:r>
      <w:r w:rsidDel="00000000" w:rsidR="00000000" w:rsidRPr="00000000">
        <w:rPr>
          <w:rtl w:val="0"/>
        </w:rPr>
      </w:r>
    </w:p>
    <w:p w:rsidR="00000000" w:rsidDel="00000000" w:rsidP="00000000" w:rsidRDefault="00000000" w:rsidRPr="00000000" w14:paraId="0000001D">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Audits and Assessments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Data Protection Laws afford Customer an audit or assessment right, Customer (or its appointed representative) may carry out an audit or assessment of Graphene’s policies, procedures, and records relevant to the Processing of Customer Personal Data. Any audit or assessment must be: (i) conducted during Graphene’s regular business hours; (ii) with reasonable advance notice to Graphene; (iii) carried out in a manner that prevents unnecessary disruption to Graphene’s operations; and (iv) subject to reasonable confidentiality procedures. In addition, any audit or assessment shall be limited to once per year, unless an audit or assessment is carried out at the direction of a government authority having proper jurisdiction.</w:t>
      </w:r>
      <w:r w:rsidDel="00000000" w:rsidR="00000000" w:rsidRPr="00000000">
        <w:rPr>
          <w:rtl w:val="0"/>
        </w:rPr>
      </w:r>
    </w:p>
    <w:p w:rsidR="00000000" w:rsidDel="00000000" w:rsidP="00000000" w:rsidRDefault="00000000" w:rsidRPr="00000000" w14:paraId="0000001E">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 Personal Data Deletion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expiry or termination of the Agreement, Graphene will delete all Customer Personal Data together with other Customer Content as described in the Agreement, except where Graphene is required to retain copies under applicable laws, in which case Graphene will isolate and protect that Customer Personal Data from any further Processing except to the extent required by applicable laws.</w:t>
      </w:r>
      <w:r w:rsidDel="00000000" w:rsidR="00000000" w:rsidRPr="00000000">
        <w:rPr>
          <w:rtl w:val="0"/>
        </w:rPr>
      </w:r>
    </w:p>
    <w:p w:rsidR="00000000" w:rsidDel="00000000" w:rsidP="00000000" w:rsidRDefault="00000000" w:rsidRPr="00000000" w14:paraId="0000001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Customer’s Obligations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represents and warrants that: (i) it has complied and will comply with Data Protection Laws; (ii) it has provided data subjects whose Customer Personal Data will be Processed in connection with the Agreement with a privacy notice or similar document that clearly and accurately describes Customer’s practices with respect to the Processing of Customer Personal Data; (iii) it has obtained and will obtain and continue to have, during the term, all necessary rights, lawful bases, authorizations, consents, and licenses for the Processing of Customer Personal Data as contemplated by the Agreement; and (iv) Graphene’s Processing of Customer Personal Data in accordance with the Agreement will not violate Data Protection Laws or cause a breach of any agreement or obligations between Customer and any third party.</w:t>
      </w:r>
    </w:p>
    <w:p w:rsidR="00000000" w:rsidDel="00000000" w:rsidP="00000000" w:rsidRDefault="00000000" w:rsidRPr="00000000" w14:paraId="00000020">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Processing Details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pStyle w:val="Heading2"/>
        <w:numPr>
          <w:ilvl w:val="1"/>
          <w:numId w:val="1"/>
        </w:numPr>
        <w:ind w:left="720" w:firstLine="0"/>
        <w:rPr/>
      </w:pPr>
      <w:r w:rsidDel="00000000" w:rsidR="00000000" w:rsidRPr="00000000">
        <w:rPr>
          <w:u w:val="single"/>
          <w:rtl w:val="0"/>
        </w:rPr>
        <w:t xml:space="preserve">Subject Matter</w:t>
      </w:r>
      <w:r w:rsidDel="00000000" w:rsidR="00000000" w:rsidRPr="00000000">
        <w:rPr>
          <w:rtl w:val="0"/>
        </w:rPr>
        <w:t xml:space="preserve">. The subject matter of the Processing is the Platform pursuant to the Agreement. </w:t>
      </w:r>
    </w:p>
    <w:p w:rsidR="00000000" w:rsidDel="00000000" w:rsidP="00000000" w:rsidRDefault="00000000" w:rsidRPr="00000000" w14:paraId="00000022">
      <w:pPr>
        <w:pStyle w:val="Heading2"/>
        <w:numPr>
          <w:ilvl w:val="1"/>
          <w:numId w:val="1"/>
        </w:numPr>
        <w:ind w:left="720" w:firstLine="0"/>
        <w:rPr/>
      </w:pPr>
      <w:r w:rsidDel="00000000" w:rsidR="00000000" w:rsidRPr="00000000">
        <w:rPr>
          <w:u w:val="single"/>
          <w:rtl w:val="0"/>
        </w:rPr>
        <w:t xml:space="preserve">Duration</w:t>
      </w:r>
      <w:r w:rsidDel="00000000" w:rsidR="00000000" w:rsidRPr="00000000">
        <w:rPr>
          <w:rtl w:val="0"/>
        </w:rPr>
        <w:t xml:space="preserve">. The Processing will continue until the expiration or termination of the Agreement. </w:t>
      </w:r>
    </w:p>
    <w:p w:rsidR="00000000" w:rsidDel="00000000" w:rsidP="00000000" w:rsidRDefault="00000000" w:rsidRPr="00000000" w14:paraId="00000023">
      <w:pPr>
        <w:pStyle w:val="Heading2"/>
        <w:numPr>
          <w:ilvl w:val="1"/>
          <w:numId w:val="1"/>
        </w:numPr>
        <w:ind w:left="720" w:firstLine="0"/>
        <w:rPr/>
      </w:pPr>
      <w:r w:rsidDel="00000000" w:rsidR="00000000" w:rsidRPr="00000000">
        <w:rPr>
          <w:u w:val="single"/>
          <w:rtl w:val="0"/>
        </w:rPr>
        <w:t xml:space="preserve">Categories of Data Subjects</w:t>
      </w:r>
      <w:r w:rsidDel="00000000" w:rsidR="00000000" w:rsidRPr="00000000">
        <w:rPr>
          <w:rtl w:val="0"/>
        </w:rPr>
        <w:t xml:space="preserve">. Data subjects whose Customer Personal Data will be Processed pursuant to the Agreement. </w:t>
      </w:r>
    </w:p>
    <w:p w:rsidR="00000000" w:rsidDel="00000000" w:rsidP="00000000" w:rsidRDefault="00000000" w:rsidRPr="00000000" w14:paraId="00000024">
      <w:pPr>
        <w:pStyle w:val="Heading2"/>
        <w:numPr>
          <w:ilvl w:val="1"/>
          <w:numId w:val="1"/>
        </w:numPr>
        <w:ind w:left="720" w:firstLine="0"/>
        <w:rPr/>
      </w:pPr>
      <w:r w:rsidDel="00000000" w:rsidR="00000000" w:rsidRPr="00000000">
        <w:rPr>
          <w:u w:val="single"/>
          <w:rtl w:val="0"/>
        </w:rPr>
        <w:t xml:space="preserve">Nature and Purpose of the Processing</w:t>
      </w:r>
      <w:r w:rsidDel="00000000" w:rsidR="00000000" w:rsidRPr="00000000">
        <w:rPr>
          <w:rtl w:val="0"/>
        </w:rPr>
        <w:t xml:space="preserve">. The purpose of the Processing of Customer Personal Data by Graphene is the performance of the Platform. </w:t>
      </w:r>
    </w:p>
    <w:p w:rsidR="00000000" w:rsidDel="00000000" w:rsidP="00000000" w:rsidRDefault="00000000" w:rsidRPr="00000000" w14:paraId="00000025">
      <w:pPr>
        <w:pStyle w:val="Heading2"/>
        <w:numPr>
          <w:ilvl w:val="1"/>
          <w:numId w:val="1"/>
        </w:numPr>
        <w:ind w:left="720" w:firstLine="0"/>
        <w:rPr/>
      </w:pPr>
      <w:r w:rsidDel="00000000" w:rsidR="00000000" w:rsidRPr="00000000">
        <w:rPr>
          <w:u w:val="single"/>
          <w:rtl w:val="0"/>
        </w:rPr>
        <w:t xml:space="preserve">Types of Customer Personal Data</w:t>
      </w:r>
      <w:r w:rsidDel="00000000" w:rsidR="00000000" w:rsidRPr="00000000">
        <w:rPr>
          <w:rtl w:val="0"/>
        </w:rPr>
        <w:t xml:space="preserve">. Customer Personal Data that is Processed pursuant to the Agreement.</w:t>
      </w:r>
    </w:p>
    <w:p w:rsidR="00000000" w:rsidDel="00000000" w:rsidP="00000000" w:rsidRDefault="00000000" w:rsidRPr="00000000" w14:paraId="0000002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Contact Information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and Graphene agree to designate a point of contact for urgent privacy and security issues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Designated POC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Designated POC for both parties are specified in the Order Form.</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Schedule 1 to Data Processing Addendum</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Schedule 1 forms part of the Addendum and supplements the Standard Contractual Clauses. Capitalized terms not defined in this Schedule 1have the meaning set forth in the Addendum.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parties agree that the following terms shall supplement the Standard Contractual Clauses: </w:t>
      </w:r>
    </w:p>
    <w:p w:rsidR="00000000" w:rsidDel="00000000" w:rsidP="00000000" w:rsidRDefault="00000000" w:rsidRPr="00000000" w14:paraId="0000002D">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d1i3tlas913d" w:id="2"/>
      <w:bookmarkEnd w:id="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Supplemental Terms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parties agree that: (i) a new Clause 1(e) is added the Standard Contractual Clauses which shall read: “To the extent applicable hereunder, these Clauses also apply mutatis mutandis to the Parties’ processing of personal data that is subject to the Swiss Federal Act on Data Protection. Where applicable, references to EU Member State law or EU supervisory authorities shall be modified to include the appropriate reference under Swiss law as it relates to transfers of personal data that are subject to the Swiss Federal Act on Data Protection.”; (ii) a new Clause 1(f) is added to the Standard Contractual Clauses which shall read: “To the extent applicable hereunder, these Clauses, as supplemented by Annex III, also apply mutatis mutandis to the Parties’ processing of personal data that is subject to UK Data Protection Laws (as defined in Annex III).”; (iii) the optional text in Clause 7 is deleted; (iv) Option 1 in Clause 9 is struck and Option 2 is kept, and data importer must notify data exporter of any new subprocessors in accordance with Section 3.4 of the Addendum; (v) the optional text in Clause 11 is deleted; and (vi) in Clauses 17 and 18, the governing law and the competent courts are those of Ireland (for EEA transfers), Switzerland (for Swiss transfers), or England and Wales (for UK transfers). </w:t>
      </w:r>
      <w:r w:rsidDel="00000000" w:rsidR="00000000" w:rsidRPr="00000000">
        <w:rPr>
          <w:rtl w:val="0"/>
        </w:rPr>
      </w:r>
    </w:p>
    <w:p w:rsidR="00000000" w:rsidDel="00000000" w:rsidP="00000000" w:rsidRDefault="00000000" w:rsidRPr="00000000" w14:paraId="0000002E">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Annex 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Annex I to the Standard Contractual Clauses shall read as follows: </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List of Parties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Exporter: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set forth in the Notices section of the Agreement.</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Contact person’s name, position, and contact details: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Customer’s Designated POC.</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 relevant to the data transferred under these Clauses: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Platform.</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Controller (Module Two), Processor (Module Three).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Importer: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Graphene Systems, Inc.</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 set forth in the Notices section of the Agreement.</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Contact person’s name, position, and contact details: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Graphene’s Designated POC.</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 relevant to the data transferred under these Clauses: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Platform.</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Processor.</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Description of the Transfer: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Categories of data subjects whose personal data is transferred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categories of data subjects whose personal data is transferred under the Clauses.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Categories of personal data transferred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categories of personal data transferred under the Clauses.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onward transfers or additional security measures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Any sensitive data that is transferred under the Clauses.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The frequency of the transfer (e.g. whether the data is transferred on a one-off or continuous basis)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Personal data is transferred in accordance with the standard functionality of the Platform, or as otherwise agreed upon by the parties.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Nature of the processing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Platform.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Purpose(s) of the data transfer and further processing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Platform.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The period for which the personal data will be retained, or, if that is not possible, the criteria used to determine that period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 importer will retain personal data in accordance with the Addendum.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single"/>
          <w:shd w:fill="auto" w:val="clear"/>
          <w:vertAlign w:val="baseline"/>
          <w:rtl w:val="0"/>
        </w:rPr>
        <w:t xml:space="preserve">For transfers to (sub-) processors, also specify subject matter, nature and duration of the processing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the subject matter, nature, and duration as identified above.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Competent Supervisory Authority: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supervisory authority mandated by Clause 13. If no supervisory authority is mandated by Clause 13, then the Irish Data Protection Commission (DPC), and if this is not possible, then as otherwise agreed by the parties consistent with the conditions set forth in Clause 13.</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bookmarkStart w:colFirst="0" w:colLast="0" w:name="_heading=h.utizx3d4cdya" w:id="3"/>
      <w:bookmarkEnd w:id="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Clarifying Terms: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parties agree that: (i) the certification of deletion required by Clause 8.5 and Clause 16(d) of the Clauses will be provided upon data exporter’s written request; (ii) the measures data importer is required to take under Clause 8.6(c) of the Clauses will only cover data importer’s impacted systems; (iii) the audit described in Clause 8.9 of the Clauses shall be carried out in accordance with Section 7 of the Addendum; (iv) the termination right contemplated by Clause 14(f) and Clause 16(c) of the Clauses will be limited to the termination of the Clauses; (v) unless otherwise stated by data importer, data exporter will be responsible for communicating with data subjects pursuant to Clause 15.1(a) of the Clauses; (vi) the information required under Clause 15.1(c) of the Clauses will be provided upon data exporter’s written request; and (vii) notwithstanding anything to the contrary, data exporter will reimburse data importer for all costs and expenses incurred by data importer in connection with the performance of data importer’s obligations under Clause 15.1(b) and Clause 15.2 of the Clauses without regard for any limitation of liability set forth in the Agreement.</w:t>
      </w:r>
      <w:r w:rsidDel="00000000" w:rsidR="00000000" w:rsidRPr="00000000">
        <w:rPr>
          <w:rtl w:val="0"/>
        </w:rPr>
      </w:r>
    </w:p>
    <w:p w:rsidR="00000000" w:rsidDel="00000000" w:rsidP="00000000" w:rsidRDefault="00000000" w:rsidRPr="00000000" w14:paraId="00000045">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Annex II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Annex II of the Standard Contractual Clauses shall read as follows: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importer shall implement and maintain technical and organisational measures designed to protect personal data in accordance with the Addendum.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Pursuant to Clause 10(b), data importer will provide data exporter assistance with data subject requests in accordance with the Addendum. </w:t>
      </w:r>
    </w:p>
    <w:p w:rsidR="00000000" w:rsidDel="00000000" w:rsidP="00000000" w:rsidRDefault="00000000" w:rsidRPr="00000000" w14:paraId="00000048">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Annex III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new Annex III shall be added to the Standard Contractual Clauses and shall read as follows: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UK Information Commissioner’s Office International Data Transfer Addendum to the EU Commission Standard Contractual Clauses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UK Addendum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incorporated herein by reference.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start date in Table 1 is the effective date of the Addendum. All other information required by Table 1 is set forth in Annex I, Section A of the Clauses.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UK Addendum forms part of the version of the Approved EU SCCs which this UK Addendum is appended to including the Appendix Information, effective as of the effective date of the Addendum.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information required by Table 3 is set forth in Annex I and II to the Clauses.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parties agree that Importer may end the UK Addendum as set out in Section 19. </w:t>
      </w:r>
      <w:r w:rsidDel="00000000" w:rsidR="00000000" w:rsidRPr="00000000">
        <w:br w:type="pag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 2 – Technical and Organizational Security Measures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Technical and Organizational Measures (TOMs)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technical and organizational measures (TOMs) provided below apply to the Graphene Platform. Evidence of the implementations of these TOMs may be presented in the form of up-to-date attestations, reports or extracts from independent bodies upon written request from Customer.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4530"/>
        <w:gridCol w:w="4530"/>
        <w:tblGridChange w:id="0">
          <w:tblGrid>
            <w:gridCol w:w="4530"/>
            <w:gridCol w:w="4530"/>
          </w:tblGrid>
        </w:tblGridChange>
      </w:tblGrid>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0"/>
                <w:szCs w:val="20"/>
                <w:u w:val="none"/>
                <w:shd w:fill="auto" w:val="clear"/>
                <w:vertAlign w:val="baseline"/>
                <w:rtl w:val="0"/>
              </w:rPr>
              <w:t xml:space="preserve">Technical and Organizational Security Measure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r>
      <w:tr>
        <w:trPr>
          <w:cantSplit w:val="0"/>
          <w:trHeight w:val="121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of pseudonymisation and encryption of personal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Customer data is stored in a multi-tenant application with logical separation between Customer instances. Sensitive authentication information is encrypted, and the database is encrypted at rest.</w:t>
            </w:r>
            <w:r w:rsidDel="00000000" w:rsidR="00000000" w:rsidRPr="00000000">
              <w:rPr>
                <w:rtl w:val="0"/>
              </w:rPr>
            </w:r>
          </w:p>
        </w:tc>
      </w:tr>
      <w:tr>
        <w:trPr>
          <w:cantSplit w:val="0"/>
          <w:trHeight w:val="1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for ensuring ongoing confidentiality, integrity, availability and resilience of processing systems and the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Graphene has policies and procedures in place to ensure confidentiality, integrity and resilience of processing systems and the Platform. These include an Access Control Policy, Business Continuity and Disaster Recovery Policy, Data Classification Policy and a Secure Development Policy.</w:t>
            </w:r>
            <w:r w:rsidDel="00000000" w:rsidR="00000000" w:rsidRPr="00000000">
              <w:rPr>
                <w:rtl w:val="0"/>
              </w:rPr>
            </w:r>
          </w:p>
        </w:tc>
      </w:tr>
      <w:tr>
        <w:trPr>
          <w:cantSplit w:val="0"/>
          <w:trHeight w:val="9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for ensuring the ability to restore the availability and access to personal data in a timely manner in the event of a physical or technical incident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Customer data is backed up at least at a daily cadence. Restoration tests are performed annually.</w:t>
            </w:r>
            <w:r w:rsidDel="00000000" w:rsidR="00000000" w:rsidRPr="00000000">
              <w:rPr>
                <w:rtl w:val="0"/>
              </w:rPr>
            </w:r>
          </w:p>
        </w:tc>
      </w:tr>
      <w:tr>
        <w:trPr>
          <w:cantSplit w:val="0"/>
          <w:trHeight w:val="121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Processes for regularly testing, assessing and evaluating the effectiveness of technical and organizational measures in order to ensure the security of the 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Graphene monitors and tests controls to ensure they are operating as intended and updated as needed. </w:t>
            </w:r>
            <w:r w:rsidDel="00000000" w:rsidR="00000000" w:rsidRPr="00000000">
              <w:rPr>
                <w:rtl w:val="0"/>
              </w:rPr>
            </w:r>
          </w:p>
        </w:tc>
      </w:tr>
      <w:tr>
        <w:trPr>
          <w:cantSplit w:val="0"/>
          <w:trHeight w:val="1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for user identification and authorization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Graphene maintains an Access Control Policy. Measures for access control and authorization include formally documented roles and permissions, encrypted connection to production systems and networks, and single-sign on or 2FA where available. Access reviews are performed on a regular basis.</w:t>
            </w:r>
            <w:r w:rsidDel="00000000" w:rsidR="00000000" w:rsidRPr="00000000">
              <w:rPr>
                <w:rtl w:val="0"/>
              </w:rPr>
            </w:r>
          </w:p>
        </w:tc>
      </w:tr>
      <w:tr>
        <w:trPr>
          <w:cantSplit w:val="0"/>
          <w:trHeight w:val="7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for the protection of data during transmission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All data transfer outside Graphene’s private network is encrypted with HTTPS/SSL.</w:t>
            </w:r>
            <w:r w:rsidDel="00000000" w:rsidR="00000000" w:rsidRPr="00000000">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for the protection of data during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Graphene’s database and file stores are encrypted at rest.</w:t>
            </w:r>
            <w:r w:rsidDel="00000000" w:rsidR="00000000" w:rsidRPr="00000000">
              <w:rPr>
                <w:rtl w:val="0"/>
              </w:rPr>
            </w:r>
          </w:p>
        </w:tc>
      </w:tr>
      <w:tr>
        <w:trPr>
          <w:cantSplit w:val="0"/>
          <w:trHeight w:val="1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for ensuring physical security of locations at which personal data are processed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Graphene does not operate physical servers or other infrastructure. For employer-provided computers: All Graphene employees are required to complete physical security training, and all employees and contractors are required to enable a screen lock when the work computer is left unattended.</w:t>
            </w:r>
            <w:r w:rsidDel="00000000" w:rsidR="00000000" w:rsidRPr="00000000">
              <w:rPr>
                <w:rtl w:val="0"/>
              </w:rPr>
            </w:r>
          </w:p>
        </w:tc>
      </w:tr>
      <w:tr>
        <w:trPr>
          <w:cantSplit w:val="0"/>
          <w:trHeight w:val="7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for ensuring events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Graphene has detailed event and data access logging, with automated alerts for anomalies or missing data.</w:t>
            </w:r>
            <w:r w:rsidDel="00000000" w:rsidR="00000000" w:rsidRPr="00000000">
              <w:rPr>
                <w:rtl w:val="0"/>
              </w:rPr>
            </w:r>
          </w:p>
        </w:tc>
      </w:tr>
      <w:tr>
        <w:trPr>
          <w:cantSplit w:val="0"/>
          <w:trHeight w:val="97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for ensuring system configuration, including default configuration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Graphene maintains guidelines for configuring and hardening instances, images and containers before they can be used in production.</w:t>
            </w:r>
            <w:r w:rsidDel="00000000" w:rsidR="00000000" w:rsidRPr="00000000">
              <w:rPr>
                <w:rtl w:val="0"/>
              </w:rPr>
            </w:r>
          </w:p>
        </w:tc>
      </w:tr>
      <w:tr>
        <w:trPr>
          <w:cantSplit w:val="0"/>
          <w:trHeight w:val="145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for ensuring data minimisation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Graphene collects data in connection with Customer’s use of the Service, but only in aggregate, de-identified form which is not linked specifically to Customer or any individual, excluding Customer Data uploaded or submitted by Customer.</w:t>
            </w:r>
            <w:r w:rsidDel="00000000" w:rsidR="00000000" w:rsidRPr="00000000">
              <w:rPr>
                <w:rtl w:val="0"/>
              </w:rPr>
            </w:r>
          </w:p>
        </w:tc>
      </w:tr>
      <w:tr>
        <w:trPr>
          <w:cantSplit w:val="0"/>
          <w:trHeight w:val="7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for ensuring data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Changes to Graphene data collection are reviewed, tested and monitored after deployment.</w:t>
            </w:r>
            <w:r w:rsidDel="00000000" w:rsidR="00000000" w:rsidRPr="00000000">
              <w:rPr>
                <w:rtl w:val="0"/>
              </w:rPr>
            </w:r>
          </w:p>
        </w:tc>
      </w:tr>
      <w:tr>
        <w:trPr>
          <w:cantSplit w:val="0"/>
          <w:trHeight w:val="145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for ensuring limited data retention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Graphene retains data as long as the Graphene has a need for its use, or to meet regulatory or contractual requirements. Once data is no longer needed, it is securely disposed of or archived.</w:t>
            </w:r>
            <w:r w:rsidDel="00000000" w:rsidR="00000000" w:rsidRPr="00000000">
              <w:rPr>
                <w:rtl w:val="0"/>
              </w:rPr>
            </w:r>
          </w:p>
        </w:tc>
      </w:tr>
      <w:tr>
        <w:trPr>
          <w:cantSplit w:val="0"/>
          <w:trHeight w:val="265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for ensuring accountability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Graphene employees are required to review and acknowledge Graphene security practices and policies, complete security training, and go through a security walkthrough with a senior member of the engineering organization. Graphene conducts background checks on all new employees and requires all employees to sign a non-disclosure agreement before gaining access to systems.</w:t>
            </w:r>
            <w:r w:rsidDel="00000000" w:rsidR="00000000" w:rsidRPr="00000000">
              <w:rPr>
                <w:rtl w:val="0"/>
              </w:rPr>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Measures for allowing data portability and ensuring erasure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Customer may exercise portability or erasure rights upon request to Graphene.</w:t>
            </w:r>
            <w:r w:rsidDel="00000000" w:rsidR="00000000" w:rsidRPr="00000000">
              <w:rPr>
                <w:rtl w:val="0"/>
              </w:rPr>
            </w:r>
          </w:p>
        </w:tc>
      </w:tr>
      <w:tr>
        <w:trPr>
          <w:cantSplit w:val="0"/>
          <w:trHeight w:val="7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Technical and organizational measures of sub-processors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80.0" w:type="dxa"/>
              <w:bottom w:w="80.0" w:type="dxa"/>
              <w:right w:w="80.0" w:type="dxa"/>
            </w:tcM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0"/>
                <w:szCs w:val="20"/>
                <w:u w:val="none"/>
                <w:shd w:fill="auto" w:val="clear"/>
                <w:vertAlign w:val="baseline"/>
                <w:rtl w:val="0"/>
              </w:rPr>
              <w:t xml:space="preserve">Graphene collects and reviews the most security assessments from sub-processors on an annual basis.</w:t>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40"/>
      </w:tabs>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v1.1</w:t>
      <w:tab/>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rFonts w:ascii="Calibri" w:cs="Calibri" w:eastAsia="Calibri" w:hAnsi="Calibri"/>
        <w:b w:val="1"/>
        <w:bCs w:val="1"/>
        <w:i w:val="0"/>
        <w:iCs w:val="0"/>
        <w:smallCaps w:val="0"/>
        <w:strike w:val="0"/>
        <w:shd w:fill="auto" w:val="clear"/>
        <w:vertAlign w:val="baseline"/>
      </w:rPr>
    </w:lvl>
    <w:lvl w:ilvl="1">
      <w:start w:val="1"/>
      <w:numFmt w:val="decimal"/>
      <w:lvlText w:val="%1.%2."/>
      <w:lvlJc w:val="left"/>
      <w:pPr>
        <w:ind w:left="720" w:firstLine="0"/>
      </w:pPr>
      <w:rPr>
        <w:rFonts w:ascii="Calibri" w:cs="Calibri" w:eastAsia="Calibri" w:hAnsi="Calibri"/>
        <w:b w:val="0"/>
        <w:bCs w:val="0"/>
        <w:i w:val="0"/>
        <w:iCs w:val="0"/>
        <w:smallCaps w:val="0"/>
        <w:strike w:val="0"/>
        <w:shd w:fill="auto" w:val="clear"/>
        <w:vertAlign w:val="baseline"/>
      </w:rPr>
    </w:lvl>
    <w:lvl w:ilvl="2">
      <w:start w:val="1"/>
      <w:numFmt w:val="lowerLetter"/>
      <w:lvlText w:val="%1.%2.(%3)"/>
      <w:lvlJc w:val="left"/>
      <w:pPr>
        <w:ind w:left="720" w:firstLine="0"/>
      </w:pPr>
      <w:rPr>
        <w:rFonts w:ascii="Calibri" w:cs="Calibri" w:eastAsia="Calibri" w:hAnsi="Calibri"/>
        <w:b w:val="0"/>
        <w:bCs w:val="0"/>
        <w:i w:val="0"/>
        <w:iCs w:val="0"/>
        <w:smallCaps w:val="0"/>
        <w:strike w:val="0"/>
        <w:shd w:fill="auto" w:val="clear"/>
        <w:vertAlign w:val="baseline"/>
      </w:rPr>
    </w:lvl>
    <w:lvl w:ilvl="3">
      <w:start w:val="1"/>
      <w:numFmt w:val="decimal"/>
      <w:lvlText w:val="%1.%2.(%3)(%4)"/>
      <w:lvlJc w:val="left"/>
      <w:pPr>
        <w:ind w:left="1440" w:firstLine="360"/>
      </w:pPr>
      <w:rPr>
        <w:rFonts w:ascii="Calibri" w:cs="Calibri" w:eastAsia="Calibri" w:hAnsi="Calibri"/>
        <w:b w:val="0"/>
        <w:bCs w:val="0"/>
        <w:i w:val="0"/>
        <w:iCs w:val="0"/>
        <w:smallCaps w:val="0"/>
        <w:strike w:val="0"/>
        <w:shd w:fill="auto" w:val="clear"/>
        <w:vertAlign w:val="baseline"/>
      </w:rPr>
    </w:lvl>
    <w:lvl w:ilvl="4">
      <w:start w:val="1"/>
      <w:numFmt w:val="lowerLetter"/>
      <w:lvlText w:val="%1.%2.(%3)(%4)(%5)"/>
      <w:lvlJc w:val="left"/>
      <w:pPr>
        <w:ind w:left="1800" w:firstLine="0"/>
      </w:pPr>
      <w:rPr>
        <w:rFonts w:ascii="Calibri" w:cs="Calibri" w:eastAsia="Calibri" w:hAnsi="Calibri"/>
        <w:b w:val="0"/>
        <w:bCs w:val="0"/>
        <w:i w:val="0"/>
        <w:iCs w:val="0"/>
        <w:smallCaps w:val="0"/>
        <w:strike w:val="0"/>
        <w:shd w:fill="auto" w:val="clear"/>
        <w:vertAlign w:val="baseline"/>
      </w:rPr>
    </w:lvl>
    <w:lvl w:ilvl="5">
      <w:start w:val="1"/>
      <w:numFmt w:val="lowerRoman"/>
      <w:lvlText w:val="%1.%2.(%3)(%4)(%5)(%6)"/>
      <w:lvlJc w:val="left"/>
      <w:pPr>
        <w:ind w:left="2160" w:firstLine="360"/>
      </w:pPr>
      <w:rPr>
        <w:rFonts w:ascii="Calibri" w:cs="Calibri" w:eastAsia="Calibri" w:hAnsi="Calibri"/>
        <w:b w:val="0"/>
        <w:bCs w:val="0"/>
        <w:i w:val="0"/>
        <w:iCs w:val="0"/>
        <w:smallCaps w:val="0"/>
        <w:strike w:val="0"/>
        <w:shd w:fill="auto" w:val="clear"/>
        <w:vertAlign w:val="baseline"/>
      </w:rPr>
    </w:lvl>
    <w:lvl w:ilvl="6">
      <w:start w:val="1"/>
      <w:numFmt w:val="decimal"/>
      <w:lvlText w:val="%1.%2.(%3)(%4)(%5)(%6)%7."/>
      <w:lvlJc w:val="left"/>
      <w:pPr>
        <w:ind w:left="2520" w:firstLine="0"/>
      </w:pPr>
      <w:rPr>
        <w:rFonts w:ascii="Calibri" w:cs="Calibri" w:eastAsia="Calibri" w:hAnsi="Calibri"/>
        <w:b w:val="0"/>
        <w:bCs w:val="0"/>
        <w:i w:val="0"/>
        <w:iCs w:val="0"/>
        <w:smallCaps w:val="0"/>
        <w:strike w:val="0"/>
        <w:shd w:fill="auto" w:val="clear"/>
        <w:vertAlign w:val="baseline"/>
      </w:rPr>
    </w:lvl>
    <w:lvl w:ilvl="7">
      <w:start w:val="1"/>
      <w:numFmt w:val="lowerLetter"/>
      <w:lvlText w:val="%1.%2.(%3)(%4)(%5)(%6)%7.%8."/>
      <w:lvlJc w:val="left"/>
      <w:pPr>
        <w:ind w:left="2880" w:firstLine="360"/>
      </w:pPr>
      <w:rPr>
        <w:rFonts w:ascii="Calibri" w:cs="Calibri" w:eastAsia="Calibri" w:hAnsi="Calibri"/>
        <w:b w:val="0"/>
        <w:bCs w:val="0"/>
        <w:i w:val="0"/>
        <w:iCs w:val="0"/>
        <w:smallCaps w:val="0"/>
        <w:strike w:val="0"/>
        <w:shd w:fill="auto" w:val="clear"/>
        <w:vertAlign w:val="baseline"/>
      </w:rPr>
    </w:lvl>
    <w:lvl w:ilvl="8">
      <w:start w:val="1"/>
      <w:numFmt w:val="lowerRoman"/>
      <w:lvlText w:val="%1.%2.(%3)(%4)(%5)(%6)%7.%8.%9."/>
      <w:lvlJc w:val="left"/>
      <w:pPr>
        <w:ind w:left="3240" w:firstLine="0"/>
      </w:pPr>
      <w:rPr>
        <w:rFonts w:ascii="Calibri" w:cs="Calibri" w:eastAsia="Calibri" w:hAnsi="Calibri"/>
        <w:b w:val="0"/>
        <w:bCs w:val="0"/>
        <w:i w:val="0"/>
        <w:iCs w:val="0"/>
        <w:smallCaps w:val="0"/>
        <w:strike w:val="0"/>
        <w:shd w:fill="auto" w:val="clear"/>
        <w:vertAlign w:val="baseline"/>
      </w:rPr>
    </w:lvl>
  </w:abstractNum>
  <w:abstractNum w:abstractNumId="2">
    <w:lvl w:ilvl="0">
      <w:start w:val="1"/>
      <w:numFmt w:val="decimal"/>
      <w:lvlText w:val="%1."/>
      <w:lvlJc w:val="left"/>
      <w:pPr>
        <w:ind w:left="720" w:hanging="720"/>
      </w:pPr>
      <w:rPr>
        <w:rFonts w:ascii="Calibri" w:cs="Calibri" w:eastAsia="Calibri" w:hAnsi="Calibri"/>
        <w:b w:val="1"/>
        <w:bCs w:val="1"/>
        <w:i w:val="0"/>
        <w:iCs w:val="0"/>
        <w:smallCaps w:val="0"/>
        <w:strike w:val="0"/>
        <w:shd w:fill="auto" w:val="clear"/>
        <w:vertAlign w:val="baseline"/>
      </w:rPr>
    </w:lvl>
    <w:lvl w:ilvl="1">
      <w:start w:val="1"/>
      <w:numFmt w:val="decimal"/>
      <w:lvlText w:val="%1.%2."/>
      <w:lvlJc w:val="left"/>
      <w:pPr>
        <w:ind w:left="720" w:firstLine="0"/>
      </w:pPr>
      <w:rPr>
        <w:rFonts w:ascii="Calibri" w:cs="Calibri" w:eastAsia="Calibri" w:hAnsi="Calibri"/>
        <w:b w:val="0"/>
        <w:bCs w:val="0"/>
        <w:i w:val="0"/>
        <w:iCs w:val="0"/>
        <w:smallCaps w:val="0"/>
        <w:strike w:val="0"/>
        <w:shd w:fill="auto" w:val="clear"/>
        <w:vertAlign w:val="baseline"/>
      </w:rPr>
    </w:lvl>
    <w:lvl w:ilvl="2">
      <w:start w:val="1"/>
      <w:numFmt w:val="lowerLetter"/>
      <w:lvlText w:val="%1.%2.(%3)"/>
      <w:lvlJc w:val="left"/>
      <w:pPr>
        <w:ind w:left="720" w:firstLine="0"/>
      </w:pPr>
      <w:rPr>
        <w:rFonts w:ascii="Calibri" w:cs="Calibri" w:eastAsia="Calibri" w:hAnsi="Calibri"/>
        <w:b w:val="0"/>
        <w:bCs w:val="0"/>
        <w:i w:val="0"/>
        <w:iCs w:val="0"/>
        <w:smallCaps w:val="0"/>
        <w:strike w:val="0"/>
        <w:shd w:fill="auto" w:val="clear"/>
        <w:vertAlign w:val="baseline"/>
      </w:rPr>
    </w:lvl>
    <w:lvl w:ilvl="3">
      <w:start w:val="1"/>
      <w:numFmt w:val="decimal"/>
      <w:lvlText w:val="%1.%2.(%3)(%4)"/>
      <w:lvlJc w:val="left"/>
      <w:pPr>
        <w:ind w:left="1440" w:firstLine="360"/>
      </w:pPr>
      <w:rPr>
        <w:rFonts w:ascii="Calibri" w:cs="Calibri" w:eastAsia="Calibri" w:hAnsi="Calibri"/>
        <w:b w:val="0"/>
        <w:bCs w:val="0"/>
        <w:i w:val="0"/>
        <w:iCs w:val="0"/>
        <w:smallCaps w:val="0"/>
        <w:strike w:val="0"/>
        <w:shd w:fill="auto" w:val="clear"/>
        <w:vertAlign w:val="baseline"/>
      </w:rPr>
    </w:lvl>
    <w:lvl w:ilvl="4">
      <w:start w:val="1"/>
      <w:numFmt w:val="lowerLetter"/>
      <w:lvlText w:val="%1.%2.(%3)(%4)(%5)"/>
      <w:lvlJc w:val="left"/>
      <w:pPr>
        <w:ind w:left="1800" w:firstLine="0"/>
      </w:pPr>
      <w:rPr>
        <w:rFonts w:ascii="Calibri" w:cs="Calibri" w:eastAsia="Calibri" w:hAnsi="Calibri"/>
        <w:b w:val="0"/>
        <w:bCs w:val="0"/>
        <w:i w:val="0"/>
        <w:iCs w:val="0"/>
        <w:smallCaps w:val="0"/>
        <w:strike w:val="0"/>
        <w:shd w:fill="auto" w:val="clear"/>
        <w:vertAlign w:val="baseline"/>
      </w:rPr>
    </w:lvl>
    <w:lvl w:ilvl="5">
      <w:start w:val="1"/>
      <w:numFmt w:val="lowerRoman"/>
      <w:lvlText w:val="%1.%2.(%3)(%4)(%5)(%6)"/>
      <w:lvlJc w:val="left"/>
      <w:pPr>
        <w:ind w:left="2160" w:firstLine="360"/>
      </w:pPr>
      <w:rPr>
        <w:rFonts w:ascii="Calibri" w:cs="Calibri" w:eastAsia="Calibri" w:hAnsi="Calibri"/>
        <w:b w:val="0"/>
        <w:bCs w:val="0"/>
        <w:i w:val="0"/>
        <w:iCs w:val="0"/>
        <w:smallCaps w:val="0"/>
        <w:strike w:val="0"/>
        <w:shd w:fill="auto" w:val="clear"/>
        <w:vertAlign w:val="baseline"/>
      </w:rPr>
    </w:lvl>
    <w:lvl w:ilvl="6">
      <w:start w:val="1"/>
      <w:numFmt w:val="decimal"/>
      <w:lvlText w:val="%1.%2.(%3)(%4)(%5)(%6)%7."/>
      <w:lvlJc w:val="left"/>
      <w:pPr>
        <w:ind w:left="2520" w:firstLine="0"/>
      </w:pPr>
      <w:rPr>
        <w:rFonts w:ascii="Calibri" w:cs="Calibri" w:eastAsia="Calibri" w:hAnsi="Calibri"/>
        <w:b w:val="0"/>
        <w:bCs w:val="0"/>
        <w:i w:val="0"/>
        <w:iCs w:val="0"/>
        <w:smallCaps w:val="0"/>
        <w:strike w:val="0"/>
        <w:shd w:fill="auto" w:val="clear"/>
        <w:vertAlign w:val="baseline"/>
      </w:rPr>
    </w:lvl>
    <w:lvl w:ilvl="7">
      <w:start w:val="1"/>
      <w:numFmt w:val="lowerLetter"/>
      <w:lvlText w:val="%1.%2.(%3)(%4)(%5)(%6)%7.%8."/>
      <w:lvlJc w:val="left"/>
      <w:pPr>
        <w:ind w:left="2880" w:firstLine="360"/>
      </w:pPr>
      <w:rPr>
        <w:rFonts w:ascii="Calibri" w:cs="Calibri" w:eastAsia="Calibri" w:hAnsi="Calibri"/>
        <w:b w:val="0"/>
        <w:bCs w:val="0"/>
        <w:i w:val="0"/>
        <w:iCs w:val="0"/>
        <w:smallCaps w:val="0"/>
        <w:strike w:val="0"/>
        <w:shd w:fill="auto" w:val="clear"/>
        <w:vertAlign w:val="baseline"/>
      </w:rPr>
    </w:lvl>
    <w:lvl w:ilvl="8">
      <w:start w:val="1"/>
      <w:numFmt w:val="lowerRoman"/>
      <w:lvlText w:val="%1.%2.(%3)(%4)(%5)(%6)%7.%8.%9."/>
      <w:lvlJc w:val="left"/>
      <w:pPr>
        <w:ind w:left="3240" w:firstLine="0"/>
      </w:pPr>
      <w:rPr>
        <w:rFonts w:ascii="Calibri" w:cs="Calibri" w:eastAsia="Calibri" w:hAnsi="Calibri"/>
        <w:b w:val="0"/>
        <w:bCs w:val="0"/>
        <w:i w:val="0"/>
        <w:iCs w:val="0"/>
        <w:smallCaps w:val="0"/>
        <w:strike w:val="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Body" w:customStyle="1">
    <w:name w:val="Body"/>
    <w:pPr>
      <w:spacing w:after="240"/>
    </w:pPr>
    <w:rPr>
      <w:rFonts w:ascii="Calibri" w:cs="Arial Unicode MS" w:hAnsi="Calibri"/>
      <w:color w:val="000000"/>
      <w:sz w:val="22"/>
      <w:szCs w:val="22"/>
      <w:u w:color="000000"/>
      <w14:textOutline w14:cap="flat" w14:cmpd="sng" w14:algn="ctr">
        <w14:noFill/>
        <w14:prstDash w14:val="solid"/>
        <w14:bevel/>
      </w14:textOutline>
    </w:rPr>
  </w:style>
  <w:style w:type="paragraph" w:styleId="Heading" w:customStyle="1">
    <w:name w:val="Heading"/>
    <w:next w:val="Body"/>
    <w:pPr>
      <w:keepNext w:val="1"/>
      <w:keepLines w:val="1"/>
      <w:spacing w:after="240"/>
      <w:outlineLvl w:val="0"/>
    </w:pPr>
    <w:rPr>
      <w:rFonts w:ascii="Calibri" w:cs="Arial Unicode MS" w:hAnsi="Calibri"/>
      <w:color w:val="000000"/>
      <w:sz w:val="22"/>
      <w:szCs w:val="22"/>
      <w:u w:color="000000"/>
      <w14:textOutline w14:cap="flat" w14:cmpd="sng" w14:algn="ctr">
        <w14:noFill/>
        <w14:prstDash w14:val="solid"/>
        <w14:bevel/>
      </w14:textOutline>
    </w:rPr>
  </w:style>
  <w:style w:type="numbering" w:styleId="ImportedStyle1" w:customStyle="1">
    <w:name w:val="Imported Style 1"/>
    <w:pPr>
      <w:numPr>
        <w:numId w:val="1"/>
      </w:numPr>
    </w:pPr>
  </w:style>
  <w:style w:type="paragraph" w:styleId="Default" w:customStyle="1">
    <w:name w:val="Default"/>
    <w:pPr>
      <w:spacing w:before="160" w:line="288" w:lineRule="auto"/>
    </w:pPr>
    <w:rPr>
      <w:rFonts w:ascii="Helvetica Neue" w:cs="Helvetica Neue" w:eastAsia="Helvetica Neue" w:hAnsi="Helvetica Neue"/>
      <w:color w:val="000000"/>
      <w:sz w:val="24"/>
      <w:szCs w:val="24"/>
      <w14:textOutline w14:cap="flat" w14:cmpd="sng" w14:algn="ctr">
        <w14:noFill/>
        <w14:prstDash w14:val="solid"/>
        <w14:bevel/>
      </w14:textOutline>
    </w:rPr>
  </w:style>
  <w:style w:type="character" w:styleId="None" w:customStyle="1">
    <w:name w:val="None"/>
  </w:style>
  <w:style w:type="character" w:styleId="Hyperlink0" w:customStyle="1">
    <w:name w:val="Hyperlink.0"/>
    <w:basedOn w:val="None"/>
    <w:rPr>
      <w:rFonts w:ascii="Calibri" w:cs="Calibri" w:eastAsia="Calibri" w:hAnsi="Calibri"/>
      <w:outline w:val="0"/>
      <w:color w:val="0563c1"/>
      <w:u w:color="0563c1" w:val="single"/>
    </w:rPr>
  </w:style>
  <w:style w:type="character" w:styleId="Hyperlink1" w:customStyle="1">
    <w:name w:val="Hyperlink.1"/>
    <w:basedOn w:val="None"/>
    <w:rPr>
      <w:outline w:val="0"/>
      <w:color w:val="0000ff"/>
      <w:u w:color="0000ff" w:val="single"/>
    </w:r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mmission.europa.eu/system/files/2021-06/1_en_annexe_acte_autonome_cp_part1_v5_0.pdf" TargetMode="External"/><Relationship Id="rId8" Type="http://schemas.openxmlformats.org/officeDocument/2006/relationships/hyperlink" Target="https://ico.org.uk/media/for-organisations/documents/4019539/international-data-transfer-addendum.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pno7ehipEIxc31eqkxdZoJ1MHQ==">CgMxLjAyDmgud200ajE2OHNwaTB2Mg5oLnJvdWJlbmFjam84bjIOaC5kMWkzdGxhczkxM2QyDmgudXRpengzZDRjZHlhOAByITFrOVFHU2p0c2UxVWVYNjRPWnE4QW9lZVI0NjBjR3c2cQ==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2025-12-09T00:22:00Z</dcterms:created>
</cp:coreProperties>
</file>