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Bitcoin-Hashed Transport Protocol</w:t>
      </w:r>
    </w:p>
    <w:p>
      <w:pPr>
        <w:spacing w:after="60"/>
        <w:jc w:val="center"/>
      </w:pPr>
      <w:r>
        <w:rPr>
          <w:i/>
          <w:iCs/>
          <w:sz w:val="24"/>
          <w:szCs w:val="24"/>
        </w:rPr>
        <w:t xml:space="preserve">A First-Principles Approach to Metadata-Resistant Communication</w:t>
      </w:r>
    </w:p>
    <w:p>
      <w:pPr>
        <w:spacing w:after="40"/>
        <w:jc w:val="center"/>
      </w:pPr>
      <w:r>
        <w:rPr>
          <w:sz w:val="20"/>
          <w:szCs w:val="20"/>
        </w:rPr>
        <w:t xml:space="preserve">Technical Specification v1.1 — Proposed NIP</w:t>
      </w:r>
    </w:p>
    <w:p>
      <w:pPr>
        <w:spacing w:after="40"/>
        <w:jc w:val="center"/>
      </w:pPr>
      <w:r>
        <w:rPr>
          <w:sz w:val="20"/>
          <w:szCs w:val="20"/>
        </w:rPr>
        <w:t xml:space="preserve">Timothy McGirl • Independent Researcher • December 2025</w:t>
      </w:r>
    </w:p>
    <w:p>
      <w:pPr>
        <w:pStyle w:val="Heading1"/>
      </w:pPr>
      <w:r>
        <w:t xml:space="preserve">Abstract</w:t>
      </w:r>
    </w:p>
    <w:p>
      <w:pPr>
        <w:pStyle w:val="Abstract"/>
      </w:pPr>
      <w:r>
        <w:t xml:space="preserve">Modern encrypted communication protocols achieve strong content confidentiality but systematically fail to protect communication metadata. Deep Packet Inspection (DPI) systems can identify, track, and block encrypted communications without decrypting payload content. This paper presents the Bitcoin-Hashed Transport Protocol (BHTP), a novel time-based obfuscation layer that leverages the Bitcoin blockchain as a globally synchronized source of cryptographic entropy. By deriving ephemeral transport encryption keys from publicly observable block hashes, BHTP eliminates the cryptographic handshakes and traffic signatures that enable protocol identification. The resulting "Russian Doll" architecture provides separation of concerns: an outer transport layer for censorship resistance and an inner payload layer for end-to-end confidentiality. We present the complete cryptographic construction, formal security analysis, threat model evaluation, and implementation specifications. Our analysis demonstrates that BHTP achieves statistical indistinguishability from random noise against passive observers while maintaining practical computational overhead of approximately 0.2ms per message.</w:t>
      </w:r>
    </w:p>
    <w:p>
      <w:pPr>
        <w:pStyle w:val="Abstract"/>
        <w:spacing w:before="80"/>
      </w:pPr>
      <w:r>
        <w:rPr>
          <w:b/>
          <w:bCs/>
        </w:rPr>
        <w:t xml:space="preserve">Keywords: </w:t>
      </w:r>
      <w:r>
        <w:t xml:space="preserve">traffic analysis, censorship resistance, metadata protection, Bitcoin, Nostr, ephemeral encryption, deep packet inspection, protocol obfuscation</w:t>
      </w:r>
    </w:p>
    <w:p>
      <w:pPr>
        <w:pStyle w:val="Heading1"/>
      </w:pPr>
      <w:r>
        <w:t xml:space="preserve">1. Introduction</w:t>
      </w:r>
    </w:p>
    <w:p>
      <w:pPr>
        <w:spacing w:after="80"/>
      </w:pPr>
      <w:r>
        <w:t xml:space="preserve">The fundamental promise of cryptography is confidentiality: the assurance that only intended recipients can access protected information. Modern encryption algorithms fulfill this promise with remarkable effectiveness—AES-256, ChaCha20-Poly1305, and elliptic curve cryptography provide computational security guarantees that render brute-force attacks infeasible. Yet despite these achievements, encrypted communications remain systematically vulnerable to traffic analysis, a class of attacks that bypass cryptographic protections entirely by exploiting metadata: who communicates with whom, when, how frequently, and data volume exchanged.</w:t>
      </w:r>
    </w:p>
    <w:p>
      <w:pPr>
        <w:spacing w:after="80"/>
      </w:pPr>
      <w:r>
        <w:t xml:space="preserve">The metadata problem is not theoretical. DPI systems deployed at national firewalls identify and selectively block encrypted protocols based on traffic signatures. The Great Firewall of China, Iran's filtering infrastructure, and similar systems exploit handshake patterns, packet size distributions, timing correlations, and protocol-specific headers. Former NSA Director Michael Hayden's statement "We kill people based on metadata" accurately reflects the operational value sophisticated adversaries extract from communication patterns.</w:t>
      </w:r>
    </w:p>
    <w:p>
      <w:pPr>
        <w:pStyle w:val="Heading2"/>
      </w:pPr>
      <w:r>
        <w:t xml:space="preserve">1.1 Limitations of Existing Solutions</w:t>
      </w:r>
    </w:p>
    <w:p>
      <w:pPr>
        <w:spacing w:after="80"/>
      </w:pPr>
      <w:r>
        <w:t xml:space="preserve">Existing approaches to metadata protection suffer from fundamental limitations. Tor's distinctive traffic patterns enable DPI detection despite pluggable transports like obfs4. VPN protocols exhibit characteristic handshakes; centralized providers create single points of failure. End-to-end encrypted messaging applications like Signal provide strong cryptographic confidentiality but rely on centralized servers observing communication timing and social graphs.</w:t>
      </w:r>
    </w:p>
    <w:p>
      <w:pPr>
        <w:spacing w:after="80"/>
      </w:pPr>
      <w:r>
        <w:t xml:space="preserve">This paper presents the Bitcoin-Hashed Transport Protocol (BHTP), addressing these limitations through a fundamentally different architecture. Rather than disguising encrypted traffic or routing through anonymity networks, BHTP renders encrypted traffic statistically indistinguishable from random noise by deriving encryption keys from the Bitcoin blockchain—a globally synchronized, publicly observable source of cryptographic entropy—enabling shared secrets without detectable key exchange patterns.</w:t>
      </w:r>
    </w:p>
    <w:p>
      <w:pPr>
        <w:pStyle w:val="Heading2"/>
      </w:pPr>
      <w:r>
        <w:t xml:space="preserve">1.2 Contributions</w:t>
      </w:r>
    </w:p>
    <w:p>
      <w:pPr>
        <w:pStyle w:val="ListParagraph"/>
        <w:numPr>
          <w:ilvl w:val="0"/>
          <w:numId w:val="2"/>
        </w:numPr>
      </w:pPr>
      <w:r>
        <w:t xml:space="preserve">Complete cryptographic construction for time-based transport obfuscation using Bitcoin block hashes as ephemeral key material, with formal security analysis.</w:t>
      </w:r>
    </w:p>
    <w:p>
      <w:pPr>
        <w:pStyle w:val="ListParagraph"/>
        <w:numPr>
          <w:ilvl w:val="0"/>
          <w:numId w:val="2"/>
        </w:numPr>
      </w:pPr>
      <w:r>
        <w:t xml:space="preserve">Layered security architecture ("Russian Doll" model) cleanly separating censorship resistance from confidentiality.</w:t>
      </w:r>
    </w:p>
    <w:p>
      <w:pPr>
        <w:pStyle w:val="ListParagraph"/>
        <w:numPr>
          <w:ilvl w:val="0"/>
          <w:numId w:val="2"/>
        </w:numPr>
      </w:pPr>
      <w:r>
        <w:t xml:space="preserve">Complete protocol implementation as a proposed NIP for the Nostr network, including data structures, client behavior, padding schemes, and failure handling.</w:t>
      </w:r>
    </w:p>
    <w:p>
      <w:pPr>
        <w:pStyle w:val="ListParagraph"/>
        <w:numPr>
          <w:ilvl w:val="0"/>
          <w:numId w:val="2"/>
        </w:numPr>
      </w:pPr>
      <w:r>
        <w:t xml:space="preserve">Comprehensive analysis of security properties, performance characteristics, and implementation requirements.</w:t>
      </w:r>
    </w:p>
    <w:p>
      <w:pPr>
        <w:pStyle w:val="Heading1"/>
      </w:pPr>
      <w:r>
        <w:t xml:space="preserve">2. Background and Foundations</w:t>
      </w:r>
    </w:p>
    <w:p>
      <w:pPr>
        <w:pStyle w:val="Heading2"/>
      </w:pPr>
      <w:r>
        <w:t xml:space="preserve">2.1 Traffic Analysis and Deep Packet Inspection</w:t>
      </w:r>
    </w:p>
    <w:p>
      <w:pPr>
        <w:spacing w:after="80"/>
      </w:pPr>
      <w:r>
        <w:t xml:space="preserve">Traffic analysis systematically studies communication patterns to extract intelligence without accessing content. Modern traffic analysis operates at unprecedented scale—Internet backbone monitoring enables observation of traffic flows between arbitrary endpoints. Machine learning classifiers identify encrypted protocols with high accuracy based on packet timing, size patterns, and flow characteristics. DPI systems employ signature-based detection matching packet content against known protocol patterns, statistical classification analyzing flow characteristics, and ML approaches combining multiple features.</w:t>
      </w:r>
    </w:p>
    <w:p>
      <w:pPr>
        <w:spacing w:after="80"/>
      </w:pPr>
      <w:r>
        <w:t xml:space="preserve">The arms race between DPI and obfuscation has driven increasing sophistication. Early obfuscation methods using static XOR were easily detected through entropy analysis. Modern approaches like obfs4 use authenticated encryption with ephemeral keys, but key exchange processes create detectable patterns. BHTP sidesteps this by eliminating key exchange entirely—keys derived from publicly observable blockchain data require no handshake or negotiation.</w:t>
      </w:r>
    </w:p>
    <w:p>
      <w:pPr>
        <w:pStyle w:val="Heading2"/>
      </w:pPr>
      <w:r>
        <w:t xml:space="preserve">2.2 Bitcoin as a Timing Oracle</w:t>
      </w:r>
    </w:p>
    <w:p>
      <w:pPr>
        <w:spacing w:after="80"/>
      </w:pPr>
      <w:r>
        <w:t xml:space="preserve">Bitcoin's blockchain exhibits properties making it uniquely suitable for time-based key derivation. Block hashes are globally observable and consistent—any party with network access observes the same sequence, and consensus ensures honest participants agree on the canonical chain. Block hashes are computationally unpredictable—each is SHA-256 output exhibiting near-uniform distribution across the 256-bit space. The blockchain provides natural timing (~10 minute blocks) for key rotation. Bitcoin's economic security makes chain manipulation extremely costly (billions of dollars), providing security guarantees for key derivation.</w:t>
      </w:r>
    </w:p>
    <w:p>
      <w:pPr>
        <w:pStyle w:val="Heading2"/>
      </w:pPr>
      <w:r>
        <w:t xml:space="preserve">2.3 The Nostr Protocol</w:t>
      </w:r>
    </w:p>
    <w:p>
      <w:pPr>
        <w:spacing w:after="80"/>
      </w:pPr>
      <w:r>
        <w:t xml:space="preserve">Nostr (Notes and Other Stuff Transmitted by Relays) is a decentralized protocol separating identity (cryptographic key pairs) from infrastructure (relays storing and forwarding events). Users publish signed JSON events to relays. NIP-44 defines standard encryption using XChaCha20-Poly1305 with ECDH-derived keys. BHTP is proposed as a new NIP, defining a new event kind (10059) wrapping NIP-44 content in additional transport encryption. This preserves NIP-44's confidentiality while adding censorship resistance from blockchain-derived key obfuscation.</w:t>
      </w:r>
    </w:p>
    <w:p>
      <w:pPr>
        <w:pStyle w:val="Heading1"/>
      </w:pPr>
      <w:r>
        <w:t xml:space="preserve">3. Threat Model</w:t>
      </w:r>
    </w:p>
    <w:p>
      <w:pPr>
        <w:pStyle w:val="Heading2"/>
      </w:pPr>
      <w:r>
        <w:t xml:space="preserve">3.1 Adversary Capabilities</w:t>
      </w:r>
    </w:p>
    <w:p>
      <w:pPr>
        <w:spacing w:after="80"/>
      </w:pPr>
      <w:r>
        <w:t xml:space="preserve">BHTP assumes a powerful but bounded adversary with: </w:t>
      </w:r>
      <w:r>
        <w:rPr>
          <w:b/>
          <w:bCs/>
        </w:rPr>
        <w:t xml:space="preserve">Network Observation</w:t>
      </w:r>
      <w:r>
        <w:t xml:space="preserve"> (all traffic including contents, timing, sizes, addresses at backbone level); </w:t>
      </w:r>
      <w:r>
        <w:rPr>
          <w:b/>
          <w:bCs/>
        </w:rPr>
        <w:t xml:space="preserve">Deep Packet Inspection</w:t>
      </w:r>
      <w:r>
        <w:t xml:space="preserve"> (sophisticated classification through signatures, statistics, ML); </w:t>
      </w:r>
      <w:r>
        <w:rPr>
          <w:b/>
          <w:bCs/>
        </w:rPr>
        <w:t xml:space="preserve">Active Probing</w:t>
      </w:r>
      <w:r>
        <w:t xml:space="preserve"> (arbitrary probe packets to suspected servers); </w:t>
      </w:r>
      <w:r>
        <w:rPr>
          <w:b/>
          <w:bCs/>
        </w:rPr>
        <w:t xml:space="preserve">Historical Recording</w:t>
      </w:r>
      <w:r>
        <w:t xml:space="preserve"> ("harvest now, decrypt later"); </w:t>
      </w:r>
      <w:r>
        <w:rPr>
          <w:b/>
          <w:bCs/>
        </w:rPr>
        <w:t xml:space="preserve">Blockchain Access</w:t>
      </w:r>
      <w:r>
        <w:t xml:space="preserve"> (full access to derive transport keys, but not NIP-44 payload keys without private keys).</w:t>
      </w:r>
    </w:p>
    <w:p>
      <w:pPr>
        <w:spacing w:after="80"/>
      </w:pPr>
      <w:r>
        <w:t xml:space="preserve">The adversary is bounded by: </w:t>
      </w:r>
      <w:r>
        <w:rPr>
          <w:b/>
          <w:bCs/>
        </w:rPr>
        <w:t xml:space="preserve">No Endpoint Compromise</w:t>
      </w:r>
      <w:r>
        <w:t xml:space="preserve"> (device access renders transport security irrelevant); </w:t>
      </w:r>
      <w:r>
        <w:rPr>
          <w:b/>
          <w:bCs/>
        </w:rPr>
        <w:t xml:space="preserve">No Private Key Access</w:t>
      </w:r>
      <w:r>
        <w:t xml:space="preserve"> (secp256k1 keys enable NIP-44 decryption); </w:t>
      </w:r>
      <w:r>
        <w:rPr>
          <w:b/>
          <w:bCs/>
        </w:rPr>
        <w:t xml:space="preserve">No Blockchain Manipulation</w:t>
      </w:r>
      <w:r>
        <w:t xml:space="preserve"> (economic cost exceeds plausible resources).</w:t>
      </w:r>
    </w:p>
    <w:p>
      <w:pPr>
        <w:pStyle w:val="Heading2"/>
      </w:pPr>
      <w:r>
        <w:t xml:space="preserve">3.2 Security Goals</w:t>
      </w:r>
    </w:p>
    <w:p>
      <w:pPr>
        <w:spacing w:after="80"/>
      </w:pPr>
      <w:r>
        <w:rPr>
          <w:b/>
          <w:bCs/>
        </w:rPr>
        <w:t xml:space="preserve">Traffic Indistinguishability: </w:t>
      </w:r>
      <w:r>
        <w:t xml:space="preserve">BHTP traffic statistically indistinguishable from random bytes without knowing the derivation block. </w:t>
      </w:r>
      <w:r>
        <w:rPr>
          <w:b/>
          <w:bCs/>
        </w:rPr>
        <w:t xml:space="preserve">Handshake Elimination: </w:t>
      </w:r>
      <w:r>
        <w:t xml:space="preserve">No key exchange or negotiation producing detectable patterns. </w:t>
      </w:r>
      <w:r>
        <w:rPr>
          <w:b/>
          <w:bCs/>
        </w:rPr>
        <w:t xml:space="preserve">Cost Asymmetry: </w:t>
      </w:r>
      <w:r>
        <w:t xml:space="preserve">Adversary decryption cost vastly exceeds legitimate user cost. </w:t>
      </w:r>
      <w:r>
        <w:rPr>
          <w:b/>
          <w:bCs/>
        </w:rPr>
        <w:t xml:space="preserve">Layer Independence: </w:t>
      </w:r>
      <w:r>
        <w:t xml:space="preserve">Transport layer compromise does not compromise payload layer.</w:t>
      </w:r>
    </w:p>
    <w:p>
      <w:pPr>
        <w:pStyle w:val="Heading2"/>
      </w:pPr>
      <w:r>
        <w:t xml:space="preserve">3.3 Non-Goals</w:t>
      </w:r>
    </w:p>
    <w:p>
      <w:pPr>
        <w:spacing w:after="80"/>
      </w:pPr>
      <w:r>
        <w:t xml:space="preserve">BHTP explicitly does not provide: long-term transport confidentiality (keys derivable from public blockchain—inner NIP-44 layer provides actual secrecy); sender anonymity (Nostr public keys identify senders); relay-level privacy (relays observe event metadata); defense against global passive adversary (theoretical omniscient observers could correlate timing).</w:t>
      </w:r>
    </w:p>
    <w:p>
      <w:pPr>
        <w:pStyle w:val="Heading1"/>
      </w:pPr>
      <w:r>
        <w:t xml:space="preserve">4. System Architecture</w:t>
      </w:r>
    </w:p>
    <w:p>
      <w:pPr>
        <w:pStyle w:val="Heading2"/>
      </w:pPr>
      <w:r>
        <w:t xml:space="preserve">4.1 The Russian Doll Model</w:t>
      </w:r>
    </w:p>
    <w:p>
      <w:pPr>
        <w:spacing w:after="80"/>
      </w:pPr>
      <w:r>
        <w:t xml:space="preserve">BHTP implements nested encryption layers providing distinct security properties. The outer layer handles transport obfuscation—making traffic indistinguishable from random noise. The inner layer handles payload confidentiality—ensuring only intended recipients read content. This separation reflects that censorship resistance and confidentiality are orthogonal concerns: censorship resistance requires defeating real-time traffic analysis; confidentiality requires cryptographic security indefinitely.</w:t>
      </w:r>
    </w:p>
    <w:p>
      <w:pPr>
        <w:spacing w:after="80"/>
      </w:pPr>
      <w:r>
        <w:t xml:space="preserve">The outer layer (BHTP transport) provides censorship resistance through time-based obfuscation with keys rotating ~10 minutes. An observer not knowing the derivation block sees only random bytes. However, anyone with blockchain access can eventually derive historical transport keys—the outer layer is obfuscation, not secrecy. The inner layer (NIP-44) provides actual confidentiality through ECDH between user key pairs—without private keys, decryption is impossible regardless of time or computational resources.</w:t>
      </w:r>
    </w:p>
    <w:p>
      <w:pPr>
        <w:pStyle w:val="Heading2"/>
      </w:pPr>
      <w:r>
        <w:t xml:space="preserve">4.2 Design Principles</w:t>
      </w:r>
    </w:p>
    <w:p>
      <w:pPr>
        <w:spacing w:after="80"/>
      </w:pPr>
      <w:r>
        <w:rPr>
          <w:b/>
          <w:bCs/>
        </w:rPr>
        <w:t xml:space="preserve">Cryptographic Independence: </w:t>
      </w:r>
      <w:r>
        <w:t xml:space="preserve">Each layer's security depends only on its own assumptions. </w:t>
      </w:r>
      <w:r>
        <w:rPr>
          <w:b/>
          <w:bCs/>
        </w:rPr>
        <w:t xml:space="preserve">Key Isolation: </w:t>
      </w:r>
      <w:r>
        <w:t xml:space="preserve">Outer keys from BLAKE3(blockchain), inner keys from ECDH—no cryptographic relationship. </w:t>
      </w:r>
      <w:r>
        <w:rPr>
          <w:b/>
          <w:bCs/>
        </w:rPr>
        <w:t xml:space="preserve">Failure Containment: </w:t>
      </w:r>
      <w:r>
        <w:t xml:space="preserve">Compromise of either layer fails gracefully; the other remains protected.</w:t>
      </w:r>
    </w:p>
    <w:p>
      <w:pPr>
        <w:pStyle w:val="Heading1"/>
      </w:pPr>
      <w:r>
        <w:t xml:space="preserve">5. Cryptographic Construction</w:t>
      </w:r>
    </w:p>
    <w:p>
      <w:pPr>
        <w:pStyle w:val="Heading2"/>
      </w:pPr>
      <w:r>
        <w:t xml:space="preserve">5.1 Key Derivation Function</w:t>
      </w:r>
    </w:p>
    <w:p>
      <w:pPr>
        <w:spacing w:after="60"/>
      </w:pPr>
      <w:r>
        <w:t xml:space="preserve">The transport key Kₙ is derived from Bitcoin blockchain data:</w:t>
      </w:r>
    </w:p>
    <w:p>
      <w:pPr>
        <w:spacing w:before="60" w:after="60"/>
        <w:jc w:val="center"/>
      </w:pPr>
      <w:r>
        <w:rPr>
          <w:i/>
          <w:iCs/>
          <w:sz w:val="24"/>
          <w:szCs w:val="24"/>
        </w:rPr>
        <w:t xml:space="preserve">Kₙ = BLAKE3( Hₙ ‖ Hₙ₋₁ ‖ Tₙ )</w:t>
      </w:r>
    </w:p>
    <w:p>
      <w:pPr>
        <w:spacing w:after="80"/>
      </w:pPr>
      <w:r>
        <w:t xml:space="preserve">Where </w:t>
      </w:r>
      <w:r>
        <w:rPr>
          <w:i/>
          <w:iCs/>
        </w:rPr>
        <w:t xml:space="preserve">Hₙ</w:t>
      </w:r>
      <w:r>
        <w:t xml:space="preserve"> is block hash at height n (32 bytes), </w:t>
      </w:r>
      <w:r>
        <w:rPr>
          <w:i/>
          <w:iCs/>
        </w:rPr>
        <w:t xml:space="preserve">Hₙ₋₁</w:t>
      </w:r>
      <w:r>
        <w:t xml:space="preserve"> is previous block hash (32 bytes), </w:t>
      </w:r>
      <w:r>
        <w:rPr>
          <w:i/>
          <w:iCs/>
        </w:rPr>
        <w:t xml:space="preserve">Tₙ</w:t>
      </w:r>
      <w:r>
        <w:t xml:space="preserve"> is block timestamp (8 bytes big-endian), and </w:t>
      </w:r>
      <w:r>
        <w:rPr>
          <w:i/>
          <w:iCs/>
        </w:rPr>
        <w:t xml:space="preserve">‖</w:t>
      </w:r>
      <w:r>
        <w:t xml:space="preserve"> denotes concatenation. Total input: 72 bytes; output truncated to 256 bits for AES-256.</w:t>
      </w:r>
    </w:p>
    <w:p>
      <w:pPr>
        <w:pStyle w:val="Heading2"/>
      </w:pPr>
      <w:r>
        <w:t xml:space="preserve">5.2 Algorithm Selection</w:t>
      </w:r>
    </w:p>
    <w:p>
      <w:pPr>
        <w:spacing w:after="80"/>
      </w:pPr>
      <w:r>
        <w:rPr>
          <w:b/>
          <w:bCs/>
        </w:rPr>
        <w:t xml:space="preserve">BLAKE3: </w:t>
      </w:r>
      <w:r>
        <w:t xml:space="preserve">Selected for performance (~6x faster than SHA-256), 256-bit security margins, built-in KDF mode, parallelism support, and mature implementations across all major languages. </w:t>
      </w:r>
      <w:r>
        <w:rPr>
          <w:b/>
          <w:bCs/>
        </w:rPr>
        <w:t xml:space="preserve">AES-256-GCM: </w:t>
      </w:r>
      <w:r>
        <w:t xml:space="preserve">Selected for hardware acceleration (AES-NI), authenticated encryption in single pass, NIST standardization (SP 800-38D), and negligible nonce collision probability with ~10 minute key rotation.</w:t>
      </w:r>
    </w:p>
    <w:p>
      <w:pPr>
        <w:pStyle w:val="Heading2"/>
      </w:pPr>
      <w:r>
        <w:t xml:space="preserve">5.3 Key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E0E0E0" w:val="clear"/>
          </w:tcPr>
          <w:p>
            <w:r>
              <w:rPr>
                <w:b/>
                <w:bCs/>
                <w:sz w:val="18"/>
                <w:szCs w:val="18"/>
              </w:rPr>
              <w:t xml:space="preserve">Layer</w:t>
            </w:r>
          </w:p>
        </w:tc>
        <w:tc>
          <w:tcPr>
            <w:tcW w:type="dxa" w:w="1872"/>
            <w:tcBorders>
              <w:top w:val="single" w:color="AAAAAA" w:sz="1"/>
              <w:left w:val="single" w:color="AAAAAA" w:sz="1"/>
              <w:bottom w:val="single" w:color="AAAAAA" w:sz="1"/>
              <w:right w:val="single" w:color="AAAAAA" w:sz="1"/>
            </w:tcBorders>
            <w:shd w:fill="E0E0E0" w:val="clear"/>
          </w:tcPr>
          <w:p>
            <w:r>
              <w:rPr>
                <w:b/>
                <w:bCs/>
                <w:sz w:val="18"/>
                <w:szCs w:val="18"/>
              </w:rPr>
              <w:t xml:space="preserve">Algorithm</w:t>
            </w:r>
          </w:p>
        </w:tc>
        <w:tc>
          <w:tcPr>
            <w:tcW w:type="dxa" w:w="1872"/>
            <w:tcBorders>
              <w:top w:val="single" w:color="AAAAAA" w:sz="1"/>
              <w:left w:val="single" w:color="AAAAAA" w:sz="1"/>
              <w:bottom w:val="single" w:color="AAAAAA" w:sz="1"/>
              <w:right w:val="single" w:color="AAAAAA" w:sz="1"/>
            </w:tcBorders>
            <w:shd w:fill="E0E0E0" w:val="clear"/>
          </w:tcPr>
          <w:p>
            <w:r>
              <w:rPr>
                <w:b/>
                <w:bCs/>
                <w:sz w:val="18"/>
                <w:szCs w:val="18"/>
              </w:rPr>
              <w:t xml:space="preserve">Key Source</w:t>
            </w:r>
          </w:p>
        </w:tc>
        <w:tc>
          <w:tcPr>
            <w:tcW w:type="dxa" w:w="1872"/>
            <w:tcBorders>
              <w:top w:val="single" w:color="AAAAAA" w:sz="1"/>
              <w:left w:val="single" w:color="AAAAAA" w:sz="1"/>
              <w:bottom w:val="single" w:color="AAAAAA" w:sz="1"/>
              <w:right w:val="single" w:color="AAAAAA" w:sz="1"/>
            </w:tcBorders>
            <w:shd w:fill="E0E0E0" w:val="clear"/>
          </w:tcPr>
          <w:p>
            <w:r>
              <w:rPr>
                <w:b/>
                <w:bCs/>
                <w:sz w:val="18"/>
                <w:szCs w:val="18"/>
              </w:rPr>
              <w:t xml:space="preserve">Lifetime</w:t>
            </w:r>
          </w:p>
        </w:tc>
        <w:tc>
          <w:tcPr>
            <w:tcW w:type="dxa" w:w="1872"/>
            <w:tcBorders>
              <w:top w:val="single" w:color="AAAAAA" w:sz="1"/>
              <w:left w:val="single" w:color="AAAAAA" w:sz="1"/>
              <w:bottom w:val="single" w:color="AAAAAA" w:sz="1"/>
              <w:right w:val="single" w:color="AAAAAA" w:sz="1"/>
            </w:tcBorders>
            <w:shd w:fill="E0E0E0" w:val="clear"/>
          </w:tcPr>
          <w:p>
            <w:r>
              <w:rPr>
                <w:b/>
                <w:bCs/>
                <w:sz w:val="18"/>
                <w:szCs w:val="18"/>
              </w:rPr>
              <w:t xml:space="preserve">Property</w:t>
            </w:r>
          </w:p>
        </w:tc>
      </w:tr>
      <w:tr>
        <w:trPr>
          <w:tblHeader w:val="false"/>
        </w:trPr>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Outer (Transport)</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AES-256-GCM</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BLAKE3(Block Data)</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~10 min</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Obfuscation</w:t>
            </w:r>
          </w:p>
        </w:tc>
      </w:tr>
      <w:tr>
        <w:trPr>
          <w:tblHeader w:val="false"/>
        </w:trPr>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Inner (Payload)</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XChaCha20-Poly1305</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ECDH (secp256k1)</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Indefinite</w:t>
            </w:r>
          </w:p>
        </w:tc>
        <w:tc>
          <w:tcPr>
            <w:tcW w:type="dxa" w:w="1872"/>
            <w:tcBorders>
              <w:top w:val="single" w:color="AAAAAA" w:sz="1"/>
              <w:left w:val="single" w:color="AAAAAA" w:sz="1"/>
              <w:bottom w:val="single" w:color="AAAAAA" w:sz="1"/>
              <w:right w:val="single" w:color="AAAAAA" w:sz="1"/>
            </w:tcBorders>
          </w:tcPr>
          <w:p>
            <w:r>
              <w:rPr>
                <w:b w:val="false"/>
                <w:bCs w:val="false"/>
                <w:sz w:val="18"/>
                <w:szCs w:val="18"/>
              </w:rPr>
              <w:t xml:space="preserve">Confidentiality</w:t>
            </w:r>
          </w:p>
        </w:tc>
      </w:tr>
    </w:tbl>
    <w:p>
      <w:pPr>
        <w:pStyle w:val="Heading1"/>
      </w:pPr>
      <w:r>
        <w:t xml:space="preserve">6. Protocol Specification</w:t>
      </w:r>
    </w:p>
    <w:p>
      <w:pPr>
        <w:pStyle w:val="Heading2"/>
      </w:pPr>
      <w:r>
        <w:t xml:space="preserve">6.1 Event Structure</w:t>
      </w:r>
    </w:p>
    <w:p>
      <w:pPr>
        <w:spacing w:after="40"/>
      </w:pPr>
      <w:r>
        <w:t xml:space="preserve">BHTP uses Nostr event kind 10059:</w:t>
      </w:r>
    </w:p>
    <w:p>
      <w:pPr>
        <w:pStyle w:val="Code"/>
      </w:pPr>
      <w:r>
        <w:t xml:space="preserve">{ "kind": 10059, "created_at": &lt;unix_timestamp&gt;,</w:t>
      </w:r>
    </w:p>
    <w:p>
      <w:pPr>
        <w:pStyle w:val="Code"/>
      </w:pPr>
      <w:r>
        <w:t xml:space="preserve">  "tags": [["h","&lt;block_hash_hex&gt;"],["p","&lt;receiver_pubkey&gt;"],["iv","&lt;nonce_hex&gt;"]],</w:t>
      </w:r>
    </w:p>
    <w:p>
      <w:pPr>
        <w:pStyle w:val="Code"/>
      </w:pPr>
      <w:r>
        <w:t xml:space="preserve">  "content": "&lt;base64_ciphertext&gt;", "pubkey": "...", "id": "...", "sig": "..." }</w:t>
      </w:r>
    </w:p>
    <w:p>
      <w:pPr>
        <w:spacing w:before="60" w:after="80"/>
      </w:pPr>
      <w:r>
        <w:rPr>
          <w:b/>
          <w:bCs/>
        </w:rPr>
        <w:t xml:space="preserve">h tag: </w:t>
      </w:r>
      <w:r>
        <w:t xml:space="preserve">64-char hex block hash for key derivation. </w:t>
      </w:r>
      <w:r>
        <w:rPr>
          <w:b/>
          <w:bCs/>
        </w:rPr>
        <w:t xml:space="preserve">iv tag: </w:t>
      </w:r>
      <w:r>
        <w:t xml:space="preserve">24-char hex 12-byte AES-GCM nonce. </w:t>
      </w:r>
      <w:r>
        <w:rPr>
          <w:b/>
          <w:bCs/>
        </w:rPr>
        <w:t xml:space="preserve">content: </w:t>
      </w:r>
      <w:r>
        <w:t xml:space="preserve">Base64 ciphertext with 16-byte GCM auth tag appended.</w:t>
      </w:r>
    </w:p>
    <w:p>
      <w:pPr>
        <w:pStyle w:val="Heading2"/>
      </w:pPr>
      <w:r>
        <w:t xml:space="preserve">6.2 Encryption Procedure</w:t>
      </w:r>
    </w:p>
    <w:p>
      <w:pPr>
        <w:pStyle w:val="ListParagraph"/>
        <w:numPr>
          <w:ilvl w:val="0"/>
          <w:numId w:val="3"/>
        </w:numPr>
      </w:pPr>
      <w:r>
        <w:rPr>
          <w:b/>
          <w:bCs/>
        </w:rPr>
        <w:t xml:space="preserve">Construct Inner Payload: </w:t>
      </w:r>
      <w:r>
        <w:t xml:space="preserve">Create inner Nostr event (any valid kind).</w:t>
      </w:r>
    </w:p>
    <w:p>
      <w:pPr>
        <w:pStyle w:val="ListParagraph"/>
        <w:numPr>
          <w:ilvl w:val="0"/>
          <w:numId w:val="3"/>
        </w:numPr>
      </w:pPr>
      <w:r>
        <w:rPr>
          <w:b/>
          <w:bCs/>
        </w:rPr>
        <w:t xml:space="preserve">Encrypt Inner Layer: </w:t>
      </w:r>
      <w:r>
        <w:t xml:space="preserve">Encrypt using NIP-44 with recipient's public key.</w:t>
      </w:r>
    </w:p>
    <w:p>
      <w:pPr>
        <w:pStyle w:val="ListParagraph"/>
        <w:numPr>
          <w:ilvl w:val="0"/>
          <w:numId w:val="3"/>
        </w:numPr>
      </w:pPr>
      <w:r>
        <w:rPr>
          <w:b/>
          <w:bCs/>
        </w:rPr>
        <w:t xml:space="preserve">Apply Padding: </w:t>
      </w:r>
      <w:r>
        <w:t xml:space="preserve">Pad using ISO/IEC 7816-4 to nearest bucket (1KB/16KB/256KB/1MB).</w:t>
      </w:r>
    </w:p>
    <w:p>
      <w:pPr>
        <w:pStyle w:val="ListParagraph"/>
        <w:numPr>
          <w:ilvl w:val="0"/>
          <w:numId w:val="3"/>
        </w:numPr>
      </w:pPr>
      <w:r>
        <w:rPr>
          <w:b/>
          <w:bCs/>
        </w:rPr>
        <w:t xml:space="preserve">Fetch Block Header: </w:t>
      </w:r>
      <w:r>
        <w:t xml:space="preserve">Obtain current Hₙ, Hₙ₋₁, Tₙ from Bitcoin network.</w:t>
      </w:r>
    </w:p>
    <w:p>
      <w:pPr>
        <w:pStyle w:val="ListParagraph"/>
        <w:numPr>
          <w:ilvl w:val="0"/>
          <w:numId w:val="3"/>
        </w:numPr>
      </w:pPr>
      <w:r>
        <w:rPr>
          <w:b/>
          <w:bCs/>
        </w:rPr>
        <w:t xml:space="preserve">Derive Transport Key: </w:t>
      </w:r>
      <w:r>
        <w:t xml:space="preserve">Compute Kₙ = BLAKE3(Hₙ ‖ Hₙ₋₁ ‖ Tₙ).</w:t>
      </w:r>
    </w:p>
    <w:p>
      <w:pPr>
        <w:pStyle w:val="ListParagraph"/>
        <w:numPr>
          <w:ilvl w:val="0"/>
          <w:numId w:val="3"/>
        </w:numPr>
      </w:pPr>
      <w:r>
        <w:rPr>
          <w:b/>
          <w:bCs/>
        </w:rPr>
        <w:t xml:space="preserve">Encrypt Outer Layer: </w:t>
      </w:r>
      <w:r>
        <w:t xml:space="preserve">AES-256-GCM encrypt with random 12-byte nonce.</w:t>
      </w:r>
    </w:p>
    <w:p>
      <w:pPr>
        <w:pStyle w:val="ListParagraph"/>
        <w:numPr>
          <w:ilvl w:val="0"/>
          <w:numId w:val="3"/>
        </w:numPr>
      </w:pPr>
      <w:r>
        <w:rPr>
          <w:b/>
          <w:bCs/>
        </w:rPr>
        <w:t xml:space="preserve">Publish: </w:t>
      </w:r>
      <w:r>
        <w:t xml:space="preserve">Sign and broadcast Kind 10059 event.</w:t>
      </w:r>
    </w:p>
    <w:p>
      <w:pPr>
        <w:pStyle w:val="Heading2"/>
      </w:pPr>
      <w:r>
        <w:t xml:space="preserve">6.3 Decryption Procedure</w:t>
      </w:r>
    </w:p>
    <w:p>
      <w:pPr>
        <w:pStyle w:val="ListParagraph"/>
        <w:numPr>
          <w:ilvl w:val="0"/>
          <w:numId w:val="4"/>
        </w:numPr>
      </w:pPr>
      <w:r>
        <w:rPr>
          <w:b/>
          <w:bCs/>
        </w:rPr>
        <w:t xml:space="preserve">Parse Event: </w:t>
      </w:r>
      <w:r>
        <w:t xml:space="preserve">Extract h tag, iv tag, and content.</w:t>
      </w:r>
    </w:p>
    <w:p>
      <w:pPr>
        <w:pStyle w:val="ListParagraph"/>
        <w:numPr>
          <w:ilvl w:val="0"/>
          <w:numId w:val="4"/>
        </w:numPr>
      </w:pPr>
      <w:r>
        <w:rPr>
          <w:b/>
          <w:bCs/>
        </w:rPr>
        <w:t xml:space="preserve">Validate Timestamp: </w:t>
      </w:r>
      <w:r>
        <w:t xml:space="preserve">Reject if created_at &gt;20 minutes from referenced block timestamp.</w:t>
      </w:r>
    </w:p>
    <w:p>
      <w:pPr>
        <w:pStyle w:val="ListParagraph"/>
        <w:numPr>
          <w:ilvl w:val="0"/>
          <w:numId w:val="4"/>
        </w:numPr>
      </w:pPr>
      <w:r>
        <w:rPr>
          <w:b/>
          <w:bCs/>
        </w:rPr>
        <w:t xml:space="preserve">Attempt Decryption: </w:t>
      </w:r>
      <w:r>
        <w:t xml:space="preserve">Derive Kₙ from referenced block; attempt AES-256-GCM decryption.</w:t>
      </w:r>
    </w:p>
    <w:p>
      <w:pPr>
        <w:pStyle w:val="ListParagraph"/>
        <w:numPr>
          <w:ilvl w:val="0"/>
          <w:numId w:val="4"/>
        </w:numPr>
      </w:pPr>
      <w:r>
        <w:rPr>
          <w:b/>
          <w:bCs/>
        </w:rPr>
        <w:t xml:space="preserve">Lookback Window: </w:t>
      </w:r>
      <w:r>
        <w:t xml:space="preserve">If failed, try client's local Hₙ, Hₙ₋₁, Hₙ₋₂ (handles propagation latency).</w:t>
      </w:r>
    </w:p>
    <w:p>
      <w:pPr>
        <w:pStyle w:val="ListParagraph"/>
        <w:numPr>
          <w:ilvl w:val="0"/>
          <w:numId w:val="4"/>
        </w:numPr>
      </w:pPr>
      <w:r>
        <w:rPr>
          <w:b/>
          <w:bCs/>
        </w:rPr>
        <w:t xml:space="preserve">Strip Padding &amp; Decrypt Inner: </w:t>
      </w:r>
      <w:r>
        <w:t xml:space="preserve">Remove ISO 7816-4 padding; attempt NIP-44 decryption (discard silently if MAC fails).</w:t>
      </w:r>
    </w:p>
    <w:p>
      <w:pPr>
        <w:pStyle w:val="Heading2"/>
      </w:pPr>
      <w:r>
        <w:t xml:space="preserve">6.4 Padding Specification</w:t>
      </w:r>
    </w:p>
    <w:p>
      <w:pPr>
        <w:spacing w:after="60"/>
      </w:pPr>
      <w:r>
        <w:t xml:space="preserve">ISO/IEC 7816-4 padding (0x80 followed by 0x00s) to standardized buckets. Clients MUST pad to the NEXT largest bucket that accommodates the payload. For example, a 1.1 KiB message MUST be padded to 16 KiB, not 1 KiB.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E0E0E0" w:val="clear"/>
          </w:tcPr>
          <w:p>
            <w:r>
              <w:rPr>
                <w:b/>
                <w:bCs/>
                <w:sz w:val="18"/>
                <w:szCs w:val="18"/>
              </w:rPr>
              <w:t xml:space="preserve">Level</w:t>
            </w:r>
          </w:p>
        </w:tc>
        <w:tc>
          <w:tcPr>
            <w:tcW w:type="dxa" w:w="3120"/>
            <w:tcBorders>
              <w:top w:val="single" w:color="AAAAAA" w:sz="1"/>
              <w:left w:val="single" w:color="AAAAAA" w:sz="1"/>
              <w:bottom w:val="single" w:color="AAAAAA" w:sz="1"/>
              <w:right w:val="single" w:color="AAAAAA" w:sz="1"/>
            </w:tcBorders>
            <w:shd w:fill="E0E0E0" w:val="clear"/>
          </w:tcPr>
          <w:p>
            <w:r>
              <w:rPr>
                <w:b/>
                <w:bCs/>
                <w:sz w:val="18"/>
                <w:szCs w:val="18"/>
              </w:rPr>
              <w:t xml:space="preserve">Size</w:t>
            </w:r>
          </w:p>
        </w:tc>
        <w:tc>
          <w:tcPr>
            <w:tcW w:type="dxa" w:w="3120"/>
            <w:tcBorders>
              <w:top w:val="single" w:color="AAAAAA" w:sz="1"/>
              <w:left w:val="single" w:color="AAAAAA" w:sz="1"/>
              <w:bottom w:val="single" w:color="AAAAAA" w:sz="1"/>
              <w:right w:val="single" w:color="AAAAAA" w:sz="1"/>
            </w:tcBorders>
            <w:shd w:fill="E0E0E0" w:val="clear"/>
          </w:tcPr>
          <w:p>
            <w:r>
              <w:rPr>
                <w:b/>
                <w:bCs/>
                <w:sz w:val="18"/>
                <w:szCs w:val="18"/>
              </w:rPr>
              <w:t xml:space="preserve">Use Case</w:t>
            </w:r>
          </w:p>
        </w:tc>
      </w:tr>
      <w:tr>
        <w:trPr>
          <w:tblHeader w:val="false"/>
        </w:trPr>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1</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1 KiB</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Text/Chat</w:t>
            </w:r>
          </w:p>
        </w:tc>
      </w:tr>
      <w:tr>
        <w:trPr>
          <w:tblHeader w:val="false"/>
        </w:trPr>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2</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16 KiB</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Rich text/Code</w:t>
            </w:r>
          </w:p>
        </w:tc>
      </w:tr>
      <w:tr>
        <w:trPr>
          <w:tblHeader w:val="false"/>
        </w:trPr>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3</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256 KiB</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Images/Documents</w:t>
            </w:r>
          </w:p>
        </w:tc>
      </w:tr>
      <w:tr>
        <w:trPr>
          <w:tblHeader w:val="false"/>
        </w:trPr>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4</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1 MiB</w:t>
            </w:r>
          </w:p>
        </w:tc>
        <w:tc>
          <w:tcPr>
            <w:tcW w:type="dxa" w:w="3120"/>
            <w:tcBorders>
              <w:top w:val="single" w:color="AAAAAA" w:sz="1"/>
              <w:left w:val="single" w:color="AAAAAA" w:sz="1"/>
              <w:bottom w:val="single" w:color="AAAAAA" w:sz="1"/>
              <w:right w:val="single" w:color="AAAAAA" w:sz="1"/>
            </w:tcBorders>
          </w:tcPr>
          <w:p>
            <w:r>
              <w:rPr>
                <w:b w:val="false"/>
                <w:bCs w:val="false"/>
                <w:sz w:val="18"/>
                <w:szCs w:val="18"/>
              </w:rPr>
              <w:t xml:space="preserve">High-res media</w:t>
            </w:r>
          </w:p>
        </w:tc>
      </w:tr>
    </w:tbl>
    <w:p>
      <w:pPr>
        <w:pStyle w:val="Heading2"/>
      </w:pPr>
      <w:r>
        <w:t xml:space="preserve">6.5 Failure Modes</w:t>
      </w:r>
    </w:p>
    <w:p>
      <w:pPr>
        <w:spacing w:after="80"/>
      </w:pPr>
      <w:r>
        <w:rPr>
          <w:b/>
          <w:bCs/>
        </w:rPr>
        <w:t xml:space="preserve">Missing Headers: </w:t>
      </w:r>
      <w:r>
        <w:t xml:space="preserve">MUST NOT fallback to cleartext; queue until consensus reestablished. </w:t>
      </w:r>
      <w:r>
        <w:rPr>
          <w:b/>
          <w:bCs/>
        </w:rPr>
        <w:t xml:space="preserve">Decryption Failure: </w:t>
      </w:r>
      <w:r>
        <w:t xml:space="preserve">Retain temporarily for potential reorg; discard after 1 hour. </w:t>
      </w:r>
      <w:r>
        <w:rPr>
          <w:b/>
          <w:bCs/>
        </w:rPr>
        <w:t xml:space="preserve">Inner Layer Failure: </w:t>
      </w:r>
      <w:r>
        <w:t xml:space="preserve">Message not for this recipient; discard silently. </w:t>
      </w:r>
      <w:r>
        <w:rPr>
          <w:b/>
          <w:bCs/>
        </w:rPr>
        <w:t xml:space="preserve">Timestamp Violations: </w:t>
      </w:r>
      <w:r>
        <w:t xml:space="preserve">Reject events &gt;20 minutes from block timestamp.</w:t>
      </w:r>
    </w:p>
    <w:p>
      <w:pPr>
        <w:pStyle w:val="Heading1"/>
      </w:pPr>
      <w:r>
        <w:t xml:space="preserve">7. Security Analysis</w:t>
      </w:r>
    </w:p>
    <w:p>
      <w:pPr>
        <w:pStyle w:val="Heading2"/>
      </w:pPr>
      <w:r>
        <w:t xml:space="preserve">7.1 Traffic Indistinguishability</w:t>
      </w:r>
    </w:p>
    <w:p>
      <w:pPr>
        <w:spacing w:after="80"/>
      </w:pPr>
      <w:r>
        <w:t xml:space="preserve">AES-256-GCM produces ciphertext computationally indistinguishable from random bytes under standard security models. Bucket-based padding ensures all messages of similar categories have identical lengths—observers see only four possible sizes. The combination achieves the stated goal: BHTP ciphertext appears as random bytes of standardized lengths with no protocol-specific signatures for DPI matching.</w:t>
      </w:r>
    </w:p>
    <w:p>
      <w:pPr>
        <w:pStyle w:val="Heading2"/>
      </w:pPr>
      <w:r>
        <w:t xml:space="preserve">7.2 Cost Asymmetry</w:t>
      </w:r>
    </w:p>
    <w:p>
      <w:pPr>
        <w:spacing w:after="80"/>
      </w:pPr>
      <w:r>
        <w:rPr>
          <w:b/>
          <w:bCs/>
        </w:rPr>
        <w:t xml:space="preserve">Legitimate User: </w:t>
      </w:r>
      <w:r>
        <w:t xml:space="preserve">~0.2ms (one BLAKE3 + one AES-GCM). </w:t>
      </w:r>
      <w:r>
        <w:rPr>
          <w:b/>
          <w:bCs/>
        </w:rPr>
        <w:t xml:space="preserve">Targeted Adversary: </w:t>
      </w:r>
      <w:r>
        <w:t xml:space="preserve">Identical cost with h tag visible. </w:t>
      </w:r>
      <w:r>
        <w:rPr>
          <w:b/>
          <w:bCs/>
        </w:rPr>
        <w:t xml:space="preserve">Mass Surveillance: </w:t>
      </w:r>
      <w:r>
        <w:t xml:space="preserve">N packets × B blocks decryption attempts. For 10 Gbps link with 5% BHTP traffic (~1.25M packets/sec), testing against 144 blocks/day requires ~180M decryptions/sec continuously—computationally feasible but expensive, requiring dedicated hardware. Crucially, success only reveals NIP-44 ciphertext requiring secp256k1 ECDH break or private key compromise.</w:t>
      </w:r>
    </w:p>
    <w:p>
      <w:pPr>
        <w:pStyle w:val="Heading2"/>
      </w:pPr>
      <w:r>
        <w:t xml:space="preserve">7.3 The Permanent Record Threat</w:t>
      </w:r>
    </w:p>
    <w:p>
      <w:pPr>
        <w:spacing w:after="80"/>
      </w:pPr>
      <w:r>
        <w:t xml:space="preserve">An adversary recording traffic today can later derive all historical transport keys from the archived blockchain and decrypt outer layers. This is an explicit design feature, not a vulnerability—the outer layer provides temporal obfuscation defeating real-time analysis, not long-term secrecy. The mandatory inner NIP-44 layer provides actual cryptographic confidentiality. Messages MUST be NIP-44 encrypted before BHTP wrapping.</w:t>
      </w:r>
    </w:p>
    <w:p>
      <w:pPr>
        <w:pStyle w:val="Heading2"/>
      </w:pPr>
      <w:r>
        <w:t xml:space="preserve">7.4 Block Reorganizations &amp; Replay Resistance</w:t>
      </w:r>
    </w:p>
    <w:p>
      <w:pPr>
        <w:spacing w:after="80"/>
      </w:pPr>
      <w:r>
        <w:t xml:space="preserve">The three-block lookback handles typical propagation scenarios and most 1-block reorganizations. For high-value communications, senders SHOULD wait for one confirmation (~10 min latency). Replay protection is delegated to the inner layer—NIP-44 timestamps enable stale message detection, and Nostr event IDs provide deduplication. The 20-minute timestamp validation limits replay windows.</w:t>
      </w:r>
    </w:p>
    <w:p>
      <w:pPr>
        <w:pStyle w:val="Heading1"/>
      </w:pPr>
      <w:r>
        <w:t xml:space="preserve">8. Performance Analysis</w:t>
      </w:r>
    </w:p>
    <w:p>
      <w:pPr>
        <w:spacing w:after="60"/>
      </w:pPr>
      <w:r>
        <w:t xml:space="preserve">Benchmarks on AMD Ryzen 5 3600, single thread with AES-NI: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E0E0E0" w:val="clear"/>
          </w:tcPr>
          <w:p>
            <w:r>
              <w:rPr>
                <w:b/>
                <w:bCs/>
                <w:sz w:val="18"/>
                <w:szCs w:val="18"/>
              </w:rPr>
              <w:t xml:space="preserve">Operation</w:t>
            </w:r>
          </w:p>
        </w:tc>
        <w:tc>
          <w:tcPr>
            <w:tcW w:type="dxa" w:w="2340"/>
            <w:tcBorders>
              <w:top w:val="single" w:color="AAAAAA" w:sz="1"/>
              <w:left w:val="single" w:color="AAAAAA" w:sz="1"/>
              <w:bottom w:val="single" w:color="AAAAAA" w:sz="1"/>
              <w:right w:val="single" w:color="AAAAAA" w:sz="1"/>
            </w:tcBorders>
            <w:shd w:fill="E0E0E0" w:val="clear"/>
          </w:tcPr>
          <w:p>
            <w:r>
              <w:rPr>
                <w:b/>
                <w:bCs/>
                <w:sz w:val="18"/>
                <w:szCs w:val="18"/>
              </w:rPr>
              <w:t xml:space="preserve">Input</w:t>
            </w:r>
          </w:p>
        </w:tc>
        <w:tc>
          <w:tcPr>
            <w:tcW w:type="dxa" w:w="2340"/>
            <w:tcBorders>
              <w:top w:val="single" w:color="AAAAAA" w:sz="1"/>
              <w:left w:val="single" w:color="AAAAAA" w:sz="1"/>
              <w:bottom w:val="single" w:color="AAAAAA" w:sz="1"/>
              <w:right w:val="single" w:color="AAAAAA" w:sz="1"/>
            </w:tcBorders>
            <w:shd w:fill="E0E0E0" w:val="clear"/>
          </w:tcPr>
          <w:p>
            <w:r>
              <w:rPr>
                <w:b/>
                <w:bCs/>
                <w:sz w:val="18"/>
                <w:szCs w:val="18"/>
              </w:rPr>
              <w:t xml:space="preserve">Time</w:t>
            </w:r>
          </w:p>
        </w:tc>
        <w:tc>
          <w:tcPr>
            <w:tcW w:type="dxa" w:w="2340"/>
            <w:tcBorders>
              <w:top w:val="single" w:color="AAAAAA" w:sz="1"/>
              <w:left w:val="single" w:color="AAAAAA" w:sz="1"/>
              <w:bottom w:val="single" w:color="AAAAAA" w:sz="1"/>
              <w:right w:val="single" w:color="AAAAAA" w:sz="1"/>
            </w:tcBorders>
            <w:shd w:fill="E0E0E0" w:val="clear"/>
          </w:tcPr>
          <w:p>
            <w:r>
              <w:rPr>
                <w:b/>
                <w:bCs/>
                <w:sz w:val="18"/>
                <w:szCs w:val="18"/>
              </w:rPr>
              <w:t xml:space="preserve">Throughput</w:t>
            </w:r>
          </w:p>
        </w:tc>
      </w:tr>
      <w:tr>
        <w:trPr>
          <w:tblHeader w:val="false"/>
        </w:trPr>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BLAKE3 hash</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72 bytes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~50 ns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1.4 GB/s</w:t>
            </w:r>
          </w:p>
        </w:tc>
      </w:tr>
      <w:tr>
        <w:trPr>
          <w:tblHeader w:val="false"/>
        </w:trPr>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AES-256-GCM</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 KB</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~150 ns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6.6 GB/s</w:t>
            </w:r>
          </w:p>
        </w:tc>
      </w:tr>
      <w:tr>
        <w:trPr>
          <w:tblHeader w:val="false"/>
        </w:trPr>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AES-256-GCM</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16 KB</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~1.2 μs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13.3 GB/s</w:t>
            </w:r>
          </w:p>
        </w:tc>
      </w:tr>
      <w:tr>
        <w:trPr>
          <w:tblHeader w:val="false"/>
        </w:trPr>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AES-256-GCM</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 MB</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~72 μs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13.9 GB/s</w:t>
            </w:r>
          </w:p>
        </w:tc>
      </w:tr>
      <w:tr>
        <w:trPr>
          <w:tblHeader w:val="false"/>
        </w:trPr>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Total (1 KB msg)</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~200 ns</w:t>
            </w:r>
          </w:p>
        </w:tc>
        <w:tc>
          <w:tcPr>
            <w:tcW w:type="dxa" w:w="2340"/>
            <w:tcBorders>
              <w:top w:val="single" w:color="AAAAAA" w:sz="1"/>
              <w:left w:val="single" w:color="AAAAAA" w:sz="1"/>
              <w:bottom w:val="single" w:color="AAAAAA" w:sz="1"/>
              <w:right w:val="single" w:color="AAAAAA" w:sz="1"/>
            </w:tcBorders>
          </w:tcPr>
          <w:p>
            <w:r>
              <w:rPr>
                <w:b w:val="false"/>
                <w:bCs w:val="false"/>
                <w:sz w:val="18"/>
                <w:szCs w:val="18"/>
              </w:rPr>
              <w:t xml:space="preserve">5,000 msg/s</w:t>
            </w:r>
          </w:p>
        </w:tc>
      </w:tr>
    </w:tbl>
    <w:p>
      <w:pPr>
        <w:spacing w:before="60" w:after="80"/>
      </w:pPr>
      <w:r>
        <w:t xml:space="preserve">Bandwidth overhead for typical 500-byte message padded to 1KB: ~500 bytes padding + ~100 bytes tags + 16 bytes auth tag + ~35% Base64 = ~1.5KB total (3x original). Larger messages incur proportionally less overhead. Dominant latency factor is block header acquisition (local node &lt;1ms, API 100-500ms).</w:t>
      </w:r>
    </w:p>
    <w:p>
      <w:pPr>
        <w:pStyle w:val="Heading1"/>
      </w:pPr>
      <w:r>
        <w:t xml:space="preserve">9. Implementation Considerations</w:t>
      </w:r>
    </w:p>
    <w:p>
      <w:pPr>
        <w:spacing w:after="80"/>
      </w:pPr>
      <w:r>
        <w:rPr>
          <w:b/>
          <w:bCs/>
        </w:rPr>
        <w:t xml:space="preserve">Bitcoin Headers: </w:t>
      </w:r>
      <w:r>
        <w:t xml:space="preserve">Full node (most trustworthy, ~500GB storage), SPV client (~50MB headers with PoW validation), or multi-API queries (lightweight but trust assumptions). Hybrid approaches combining SPV validation with API bootstrapping offer practical balance. </w:t>
      </w:r>
      <w:r>
        <w:rPr>
          <w:b/>
          <w:bCs/>
        </w:rPr>
        <w:t xml:space="preserve">Libraries: </w:t>
      </w:r>
      <w:r>
        <w:t xml:space="preserve">Rust: blake3, aes-gcm, bitcoin crates. JS: blake3, @noble/ciphers, bitcoinjs-lib. Python: blake3, cryptography, python-bitcoinlib.</w:t>
      </w:r>
    </w:p>
    <w:p>
      <w:pPr>
        <w:pStyle w:val="Heading1"/>
      </w:pPr>
      <w:r>
        <w:t xml:space="preserve">10. Related Work</w:t>
      </w:r>
    </w:p>
    <w:p>
      <w:pPr>
        <w:spacing w:after="80"/>
      </w:pPr>
      <w:r>
        <w:t xml:space="preserve">Tor pluggable transports (obfs2/3/4, meek, snowflake) disguise traffic but retain key exchange patterns. Steganographic systems (StegoTorus, SkypeMorph) hide data in cover traffic but require perfect protocol mimicry. Decoy routing (Telex, TapDance) leverages cooperative ISPs unavailable in adversarial jurisdictions. Mix networks (Mixmaster, Nym) provide unlinkability through message mixing. BHTP takes a fundamentally different approach: eliminating key exchange entirely via blockchain-derived keys, producing traffic that is simply authenticated ciphertext—opaque without derivation context.</w:t>
      </w:r>
    </w:p>
    <w:p>
      <w:pPr>
        <w:pStyle w:val="Heading1"/>
      </w:pPr>
      <w:r>
        <w:t xml:space="preserve">11. Limitations and Future Work</w:t>
      </w:r>
    </w:p>
    <w:p>
      <w:pPr>
        <w:spacing w:after="80"/>
      </w:pPr>
      <w:r>
        <w:t xml:space="preserve">BHTP provides no timing obfuscation (future: traffic shaping, constant-rate transmission). Relays observe event metadata (future: relay diversity, onion routing). Bitcoin block time variance creates irregular key rotation (future: smoothed derivation). Alternative entropy sources (Ethereum, randomness beacons) could increase resilience. The outer layer lacks forward secrecy (future: ephemeral derivation maintaining handshake-free operation). Formal verification using ProVerif/Tamarin would strengthen assurance.</w:t>
      </w:r>
    </w:p>
    <w:p>
      <w:pPr>
        <w:pStyle w:val="Heading1"/>
      </w:pPr>
      <w:r>
        <w:t xml:space="preserve">12. Conclusion</w:t>
      </w:r>
    </w:p>
    <w:p>
      <w:pPr>
        <w:spacing w:after="80"/>
      </w:pPr>
      <w:r>
        <w:t xml:space="preserve">The Bitcoin-Hashed Transport Protocol represents a novel approach to metadata-resistant communication. By deriving encryption keys from the Bitcoin blockchain, BHTP eliminates cryptographic handshakes enabling DPI protocol identification. The layered architecture cleanly separates censorship resistance (outer layer, time-based obfuscation) from confidentiality (inner layer, cryptographic secrecy). Performance analysis demonstrates practical viability with ~0.2ms overhead per message. This specification enables immediate deployment within the Nostr ecosystem pending NIP assignment.</w:t>
      </w:r>
    </w:p>
    <w:p>
      <w:pPr>
        <w:spacing w:after="80"/>
      </w:pPr>
      <w:r>
        <w:t xml:space="preserve">BHTP does not solve all metadata protection problems—timing correlation, relay observation, and endpoint compromise remain outside scope. Nevertheless, BHTP provides meaningful protection against realistic adversaries deploying Deep Packet Inspection, representing a significant advance in practical censorship resistance. In an era of increasing surveillance and censorship, protocols protecting not just what we say but how we say it become essential infrastructure for free communication.</w:t>
      </w:r>
    </w:p>
    <w:p>
      <w:pPr>
        <w:pStyle w:val="Heading1"/>
      </w:pPr>
      <w:r>
        <w:t xml:space="preserve">References</w:t>
      </w:r>
    </w:p>
    <w:p>
      <w:pPr>
        <w:spacing w:after="40"/>
      </w:pPr>
      <w:r>
        <w:rPr>
          <w:b/>
          <w:bCs/>
        </w:rPr>
        <w:t xml:space="preserve">[1] </w:t>
      </w:r>
      <w:r>
        <w:t xml:space="preserve">Dingledine, R., Mathewson, N., &amp; Syverson, P. (2004). Tor: The second-generation onion router. USENIX Security.</w:t>
      </w:r>
    </w:p>
    <w:p>
      <w:pPr>
        <w:spacing w:after="40"/>
      </w:pPr>
      <w:r>
        <w:rPr>
          <w:b/>
          <w:bCs/>
        </w:rPr>
        <w:t xml:space="preserve">[2] </w:t>
      </w:r>
      <w:r>
        <w:t xml:space="preserve">Moghaddam, H. M., et al. (2012). SkypeMorph: Protocol obfuscation for Tor bridges. ACM CCS.</w:t>
      </w:r>
    </w:p>
    <w:p>
      <w:pPr>
        <w:spacing w:after="40"/>
      </w:pPr>
      <w:r>
        <w:rPr>
          <w:b/>
          <w:bCs/>
        </w:rPr>
        <w:t xml:space="preserve">[3] </w:t>
      </w:r>
      <w:r>
        <w:t xml:space="preserve">Weinberg, Z., et al. (2012). StegoTorus: A camouflage proxy for the Tor anonymity system. ACM CCS.</w:t>
      </w:r>
    </w:p>
    <w:p>
      <w:pPr>
        <w:spacing w:after="40"/>
      </w:pPr>
      <w:r>
        <w:rPr>
          <w:b/>
          <w:bCs/>
        </w:rPr>
        <w:t xml:space="preserve">[4] </w:t>
      </w:r>
      <w:r>
        <w:t xml:space="preserve">Wustrow, E., et al. (2011). Telex: Anticensorship in the network infrastructure. USENIX Security.</w:t>
      </w:r>
    </w:p>
    <w:p>
      <w:pPr>
        <w:spacing w:after="40"/>
      </w:pPr>
      <w:r>
        <w:rPr>
          <w:b/>
          <w:bCs/>
        </w:rPr>
        <w:t xml:space="preserve">[5] </w:t>
      </w:r>
      <w:r>
        <w:t xml:space="preserve">Frolov, S., &amp; Wustrow, E. (2019). The use of TLS in censorship circumvention. NDSS.</w:t>
      </w:r>
    </w:p>
    <w:p>
      <w:pPr>
        <w:spacing w:after="40"/>
      </w:pPr>
      <w:r>
        <w:rPr>
          <w:b/>
          <w:bCs/>
        </w:rPr>
        <w:t xml:space="preserve">[6] </w:t>
      </w:r>
      <w:r>
        <w:t xml:space="preserve">Nakamoto, S. (2008). Bitcoin: A peer-to-peer electronic cash system.</w:t>
      </w:r>
    </w:p>
    <w:p>
      <w:pPr>
        <w:spacing w:after="40"/>
      </w:pPr>
      <w:r>
        <w:rPr>
          <w:b/>
          <w:bCs/>
        </w:rPr>
        <w:t xml:space="preserve">[7] </w:t>
      </w:r>
      <w:r>
        <w:t xml:space="preserve">BLAKE3 Team. (2020). BLAKE3: One function, fast everywhere. https://github.com/BLAKE3-team/BLAKE3-specs</w:t>
      </w:r>
    </w:p>
    <w:p>
      <w:pPr>
        <w:spacing w:after="40"/>
      </w:pPr>
      <w:r>
        <w:rPr>
          <w:b/>
          <w:bCs/>
        </w:rPr>
        <w:t xml:space="preserve">[8] </w:t>
      </w:r>
      <w:r>
        <w:t xml:space="preserve">Dworkin, M. (2007). Recommendation for block cipher modes: Galois/Counter Mode (GCM). NIST SP 800-38D.</w:t>
      </w:r>
    </w:p>
    <w:p>
      <w:pPr>
        <w:spacing w:after="40"/>
      </w:pPr>
      <w:r>
        <w:rPr>
          <w:b/>
          <w:bCs/>
        </w:rPr>
        <w:t xml:space="preserve">[9] </w:t>
      </w:r>
      <w:r>
        <w:t xml:space="preserve">Fiatjaf. (2023). NIP-44: Encrypted Direct Message (Versioned). https://github.com/nostr-protocol/nips</w:t>
      </w:r>
    </w:p>
    <w:p>
      <w:pPr>
        <w:spacing w:after="40"/>
      </w:pPr>
      <w:r>
        <w:rPr>
          <w:b/>
          <w:bCs/>
        </w:rPr>
        <w:t xml:space="preserve">[10] </w:t>
      </w:r>
      <w:r>
        <w:t xml:space="preserve">Winter, P., &amp; Lindskog, S. (2012). How the Great Firewall of China is blocking Tor. USENIX FOCI.</w:t>
      </w:r>
    </w:p>
    <w:p>
      <w:pPr>
        <w:pStyle w:val="Heading1"/>
      </w:pPr>
      <w:r>
        <w:t xml:space="preserve">Appendix A: Security Proofs</w:t>
      </w:r>
    </w:p>
    <w:p>
      <w:pPr>
        <w:spacing w:after="60"/>
      </w:pPr>
      <w:r>
        <w:rPr>
          <w:b/>
          <w:bCs/>
        </w:rPr>
        <w:t xml:space="preserve">Theorem 1 (Traffic Indistinguishability): </w:t>
      </w:r>
      <w:r>
        <w:t xml:space="preserve">Let E be BHTP ciphertext with key K derived from block B. For any PPT adversary A not knowing B, the advantage in distinguishing E from random is negligible. </w:t>
      </w:r>
      <w:r>
        <w:rPr>
          <w:i/>
          <w:iCs/>
        </w:rPr>
        <w:t xml:space="preserve">Proof sketch: </w:t>
      </w:r>
      <w:r>
        <w:t xml:space="preserve">By IND-CPA security of AES-256-GCM, ciphertext is indistinguishable from random given unknown key. Key K from BLAKE3 produces pseudorandom output. Without knowing the derivation block, A cannot derive K. By hybrid argument, A's advantage is bounded by advantages against AES-GCM and BLAKE3, both negligible.</w:t>
      </w:r>
    </w:p>
    <w:p>
      <w:pPr>
        <w:spacing w:after="60"/>
      </w:pPr>
      <w:r>
        <w:rPr>
          <w:b/>
          <w:bCs/>
        </w:rPr>
        <w:t xml:space="preserve">Lemma 1 (Cost Asymmetry): </w:t>
      </w:r>
      <w:r>
        <w:t xml:space="preserve">For adversary identifying BHTP in N packets over time T (B blocks), expected cost is O(N × B) decryptions. </w:t>
      </w:r>
      <w:r>
        <w:rPr>
          <w:i/>
          <w:iCs/>
        </w:rPr>
        <w:t xml:space="preserve">Proof: </w:t>
      </w:r>
      <w:r>
        <w:t xml:space="preserve">Each packet may use any of B keys; without additional information, adversary must test each candidate against each packet.</w:t>
      </w:r>
    </w:p>
    <w:p>
      <w:pPr>
        <w:spacing w:after="60"/>
      </w:pPr>
      <w:r>
        <w:rPr>
          <w:b/>
          <w:bCs/>
        </w:rPr>
        <w:t xml:space="preserve">Theorem 2 (Layer Independence): </w:t>
      </w:r>
      <w:r>
        <w:t xml:space="preserve">Transport layer compromise does not reduce inner NIP-44 security. </w:t>
      </w:r>
      <w:r>
        <w:rPr>
          <w:i/>
          <w:iCs/>
        </w:rPr>
        <w:t xml:space="preserve">Proof: </w:t>
      </w:r>
      <w:r>
        <w:t xml:space="preserve">Transport key K from BLAKE3(blockchain data); NIP-44 key from ECDH(privkey, pubkey). No shared inputs, different algorithms. Compromise of K reveals only public blockchain data and NIP-44 ciphertext protected by XChaCha20-Poly1305 under independent key.</w:t>
      </w:r>
    </w:p>
    <w:p>
      <w:pPr>
        <w:pStyle w:val="Heading1"/>
      </w:pPr>
      <w:r>
        <w:t xml:space="preserve">Appendix B: Reference Implementation (Rust)</w:t>
      </w:r>
    </w:p>
    <w:p>
      <w:pPr>
        <w:pStyle w:val="Code"/>
      </w:pPr>
      <w:r>
        <w:t xml:space="preserve">// Key Derivation</w:t>
      </w:r>
    </w:p>
    <w:p>
      <w:pPr>
        <w:pStyle w:val="Code"/>
      </w:pPr>
      <w:r>
        <w:t xml:space="preserve">pub fn derive_transport_key(block_hash: &amp;[u8;32], prev_hash: &amp;[u8;32], timestamp: u64) -&gt; [u8;32] {</w:t>
      </w:r>
    </w:p>
    <w:p>
      <w:pPr>
        <w:pStyle w:val="Code"/>
      </w:pPr>
      <w:r>
        <w:t xml:space="preserve">    let mut h = blake3::Hasher::new();</w:t>
      </w:r>
    </w:p>
    <w:p>
      <w:pPr>
        <w:pStyle w:val="Code"/>
      </w:pPr>
      <w:r>
        <w:t xml:space="preserve">    h.update(block_hash); h.update(prev_hash); h.update(&amp;timestamp.to_be_bytes());</w:t>
      </w:r>
    </w:p>
    <w:p>
      <w:pPr>
        <w:pStyle w:val="Code"/>
      </w:pPr>
      <w:r>
        <w:t xml:space="preserve">    *h.finalize().as_bytes()</w:t>
      </w:r>
    </w:p>
    <w:p>
      <w:pPr>
        <w:pStyle w:val="Code"/>
      </w:pPr>
      <w:r>
        <w:t xml:space="preserve">}</w:t>
      </w:r>
    </w:p>
    <w:p>
      <w:pPr>
        <w:pStyle w:val="Code"/>
      </w:pPr>
      <w:r>
        <w:t xml:space="preserve"/>
      </w:r>
    </w:p>
    <w:p>
      <w:pPr>
        <w:pStyle w:val="Code"/>
      </w:pPr>
      <w:r>
        <w:t xml:space="preserve">// Transport Encryption</w:t>
      </w:r>
    </w:p>
    <w:p>
      <w:pPr>
        <w:pStyle w:val="Code"/>
      </w:pPr>
      <w:r>
        <w:t xml:space="preserve">pub fn encrypt_transport(key: &amp;[u8;32], plaintext: &amp;[u8]) -&gt; Result&lt;(Vec&lt;u8&gt;, [u8;12])&gt; {</w:t>
      </w:r>
    </w:p>
    <w:p>
      <w:pPr>
        <w:pStyle w:val="Code"/>
      </w:pPr>
      <w:r>
        <w:t xml:space="preserve">    let cipher = Aes256Gcm::new_from_slice(key)?;</w:t>
      </w:r>
    </w:p>
    <w:p>
      <w:pPr>
        <w:pStyle w:val="Code"/>
      </w:pPr>
      <w:r>
        <w:t xml:space="preserve">    let mut nonce = [0u8;12]; rand::thread_rng().fill_bytes(&amp;mut nonce);</w:t>
      </w:r>
    </w:p>
    <w:p>
      <w:pPr>
        <w:pStyle w:val="Code"/>
      </w:pPr>
      <w:r>
        <w:t xml:space="preserve">    Ok((cipher.encrypt(Nonce::from_slice(&amp;nonce), plaintext)?, nonce))</w:t>
      </w:r>
    </w:p>
    <w:p>
      <w:pPr>
        <w:pStyle w:val="Code"/>
      </w:pPr>
      <w:r>
        <w:t xml:space="preserve">}</w:t>
      </w:r>
    </w:p>
    <w:p>
      <w:pPr>
        <w:pStyle w:val="Code"/>
      </w:pPr>
      <w:r>
        <w:t xml:space="preserve"/>
      </w:r>
    </w:p>
    <w:p>
      <w:pPr>
        <w:pStyle w:val="Code"/>
      </w:pPr>
      <w:r>
        <w:t xml:space="preserve">// Padding</w:t>
      </w:r>
    </w:p>
    <w:p>
      <w:pPr>
        <w:pStyle w:val="Code"/>
      </w:pPr>
      <w:r>
        <w:t xml:space="preserve">const BUCKETS: [usize;4] = [1024, 16384, 262144, 1048576];</w:t>
      </w:r>
    </w:p>
    <w:p>
      <w:pPr>
        <w:pStyle w:val="Code"/>
      </w:pPr>
      <w:r>
        <w:t xml:space="preserve">pub fn pad_to_bucket(data: &amp;[u8]) -&gt; Vec&lt;u8&gt; {</w:t>
      </w:r>
    </w:p>
    <w:p>
      <w:pPr>
        <w:pStyle w:val="Code"/>
      </w:pPr>
      <w:r>
        <w:t xml:space="preserve">    let bucket = BUCKETS.iter().find(|&amp;&amp;s| data.len() &lt; s).copied().unwrap_or(BUCKETS[3]);</w:t>
      </w:r>
    </w:p>
    <w:p>
      <w:pPr>
        <w:pStyle w:val="Code"/>
      </w:pPr>
      <w:r>
        <w:t xml:space="preserve">    let mut p = data.to_vec(); p.push(0x80); p.resize(bucket, 0); p</w:t>
      </w:r>
    </w:p>
    <w:p>
      <w:pPr>
        <w:pStyle w:val="Code"/>
      </w:pPr>
      <w:r>
        <w:t xml:space="preserve">}</w:t>
      </w:r>
    </w:p>
    <w:p>
      <w:pPr>
        <w:spacing w:before="240"/>
        <w:jc w:val="center"/>
      </w:pPr>
      <w:r>
        <w:rPr>
          <w:i/>
          <w:iCs/>
        </w:rPr>
        <w:t xml:space="preserve">— End of Document —</w:t>
      </w:r>
    </w:p>
    <w:sectPr>
      <w:headerReference w:type="default" r:id="rId6"/>
      <w:footerReference w:type="default" r:id="rId7"/>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Bitcoin-Hashed Transport Protocol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4"/>
      <w:szCs w:val="44"/>
    </w:rPr>
  </w:style>
  <w:style w:type="paragraph" w:styleId="Heading1">
    <w:name w:val="Heading 1"/>
    <w:basedOn w:val="Normal"/>
    <w:next w:val="Normal"/>
    <w:qFormat/>
    <w:pPr>
      <w:spacing w:before="240" w:after="8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60"/>
      <w:outlineLvl w:val="1"/>
    </w:pPr>
    <w:rPr>
      <w:rFonts w:ascii="Arial" w:cs="Arial" w:eastAsia="Arial" w:hAnsi="Arial"/>
      <w:b/>
      <w:bCs/>
      <w:color w:val="000000"/>
      <w:sz w:val="24"/>
      <w:szCs w:val="24"/>
    </w:rPr>
  </w:style>
  <w:style w:type="paragraph" w:styleId="Heading3">
    <w:name w:val="Heading 3"/>
    <w:basedOn w:val="Normal"/>
    <w:next w:val="Normal"/>
    <w:qFormat/>
    <w:pPr>
      <w:spacing w:before="140" w:after="40"/>
      <w:outlineLvl w:val="2"/>
    </w:pPr>
    <w:rPr>
      <w:rFonts w:ascii="Arial" w:cs="Arial" w:eastAsia="Arial" w:hAnsi="Arial"/>
      <w:b/>
      <w:bCs/>
      <w:color w:val="333333"/>
      <w:sz w:val="22"/>
      <w:szCs w:val="22"/>
    </w:rPr>
  </w:style>
  <w:style w:type="paragraph" w:styleId="Abstract">
    <w:name w:val="Abstract"/>
    <w:basedOn w:val="Normal"/>
    <w:pPr>
      <w:spacing w:before="60" w:after="60"/>
      <w:ind w:left="540" w:right="540"/>
    </w:pPr>
    <w:rPr>
      <w:i/>
      <w:iCs/>
      <w:sz w:val="22"/>
      <w:szCs w:val="22"/>
    </w:rPr>
  </w:style>
  <w:style w:type="paragraph" w:styleId="Code">
    <w:name w:val="Code"/>
    <w:basedOn w:val="Normal"/>
    <w:pPr>
      <w:spacing w:before="20" w:after="20"/>
      <w:ind w:left="36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2025-12-12T03:37:58.990Z</dcterms:created>
  <dcterms:modified xsi:type="dcterms:W3CDTF">2025-12-12T03:37:58.991Z</dcterms:modified>
</cp:coreProperties>
</file>

<file path=docProps/custom.xml><?xml version="1.0" encoding="utf-8"?>
<Properties xmlns="http://schemas.openxmlformats.org/officeDocument/2006/custom-properties" xmlns:vt="http://schemas.openxmlformats.org/officeDocument/2006/docPropsVTypes"/>
</file>