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The Falsification of Standard Quantum Mechanics</w:t>
      </w:r>
    </w:p>
    <w:p>
      <w:pPr>
        <w:spacing w:after="120"/>
        <w:jc w:val="center"/>
      </w:pPr>
      <w:r>
        <w:rPr>
          <w:b/>
          <w:bCs/>
          <w:sz w:val="32"/>
          <w:szCs w:val="32"/>
        </w:rPr>
        <w:t xml:space="preserve">by the CHSH Bell Test: A Geometric Resolution</w:t>
      </w:r>
    </w:p>
    <w:p>
      <w:pPr>
        <w:spacing w:after="480"/>
        <w:jc w:val="center"/>
      </w:pPr>
      <w:r>
        <w:rPr>
          <w:sz w:val="24"/>
          <w:szCs w:val="24"/>
        </w:rPr>
        <w:t xml:space="preserve"/>
      </w:r>
    </w:p>
    <w:p>
      <w:pPr>
        <w:spacing w:after="120"/>
        <w:jc w:val="center"/>
      </w:pPr>
      <w:r>
        <w:rPr>
          <w:sz w:val="24"/>
          <w:szCs w:val="24"/>
        </w:rPr>
        <w:t xml:space="preserve">Timothy McGirl</w:t>
      </w:r>
    </w:p>
    <w:p>
      <w:pPr>
        <w:spacing w:after="120"/>
        <w:jc w:val="center"/>
      </w:pPr>
      <w:r>
        <w:rPr>
          <w:i/>
          <w:iCs/>
          <w:sz w:val="22"/>
          <w:szCs w:val="22"/>
        </w:rPr>
        <w:t xml:space="preserve">Independent Researcher</w:t>
      </w:r>
    </w:p>
    <w:p>
      <w:pPr>
        <w:spacing w:after="120"/>
        <w:jc w:val="center"/>
      </w:pPr>
      <w:r>
        <w:rPr>
          <w:i/>
          <w:iCs/>
          <w:sz w:val="22"/>
          <w:szCs w:val="22"/>
        </w:rPr>
        <w:t xml:space="preserve">Manassas, Virginia, USA</w:t>
      </w:r>
    </w:p>
    <w:p>
      <w:pPr>
        <w:spacing w:after="480"/>
        <w:jc w:val="center"/>
      </w:pPr>
      <w:r>
        <w:rPr>
          <w:i/>
          <w:iCs/>
          <w:sz w:val="22"/>
          <w:szCs w:val="22"/>
        </w:rPr>
        <w:t xml:space="preserve">January 2026</w:t>
      </w:r>
    </w:p>
    <w:p>
      <w:pPr>
        <w:pStyle w:val="Heading1"/>
      </w:pPr>
      <w:r>
        <w:t xml:space="preserve">Abstract</w:t>
      </w:r>
    </w:p>
    <w:p>
      <w:pPr>
        <w:spacing w:after="240" w:line="360"/>
      </w:pPr>
      <w:r>
        <w:rPr>
          <w:sz w:val="24"/>
          <w:szCs w:val="24"/>
        </w:rPr>
        <w:t xml:space="preserve">Standard quantum mechanics predicts that the Clauser-Horne-Shimony-Holt (CHSH) Bell parameter S can reach a maximum value of 2√2 ≈ 2.828, known as the Tsirelson bound. This prediction follows from the algebraic structure of Hilbert space under the assumption of continuous, geometry-free spacetime. We demonstrate that this prediction is empirically falsified: a decade of loophole-free Bell tests consistently yield S values clustering around 2.38, with no experiment approaching the Tsirelson bound. We present an analytical derivation from the Geometric Standard Model (GSM) showing that the E₈ → H₄ icosahedral projection modifies the quantum commutator algebra, yielding an exact bound of S ≤ 4 - φ ≈ 2.3820, where φ = (1+√5)/2 is the golden ratio. This geometric bound matches experimental data to sub-percent precision with zero free parameters. We identify the precise error in standard QM: the implicit assumption of smooth, continuous spacetime geometry. When the correct discrete geometry is incorporated, the CHSH bound is reduced by exactly 15.78%. The experimental record supports GSM over standard QM.</w:t>
      </w:r>
    </w:p>
    <w:p>
      <w:r>
        <w:br w:type="page"/>
      </w:r>
    </w:p>
    <w:p>
      <w:pPr>
        <w:pStyle w:val="Heading1"/>
      </w:pPr>
      <w:r>
        <w:t xml:space="preserve">1. Introduction</w:t>
      </w:r>
    </w:p>
    <w:p>
      <w:pPr>
        <w:spacing w:after="240" w:line="360"/>
      </w:pPr>
      <w:r>
        <w:rPr>
          <w:sz w:val="24"/>
          <w:szCs w:val="24"/>
        </w:rPr>
        <w:t xml:space="preserve">The Bell inequalities represent one of the most profound tests of quantum mechanics against local hidden variable theories. In 1969, Clauser, Horne, Shimony, and Holt derived the CHSH inequality, which states that for any local hidden variable theory, the Bell parameter S must satisfy |S| ≤ 2. Quantum mechanics predicts violations of this bound, with the theoretical maximum—the Tsirelson bound—given by S_max = 2√2 ≈ 2.828427.</w:t>
      </w:r>
    </w:p>
    <w:p>
      <w:pPr>
        <w:spacing w:after="240" w:line="360"/>
      </w:pPr>
      <w:r>
        <w:rPr>
          <w:sz w:val="24"/>
          <w:szCs w:val="24"/>
        </w:rPr>
        <w:t xml:space="preserve">This prediction is derived from the algebraic structure of Hilbert space and the canonical commutation relations of quantum mechanics. Crucially, the derivation assumes that spacetime is smooth and continuous—a geometry-free framework where the commutation algebra takes its standard form.</w:t>
      </w:r>
    </w:p>
    <w:p>
      <w:pPr>
        <w:spacing w:after="240" w:line="360"/>
      </w:pPr>
      <w:r>
        <w:rPr>
          <w:sz w:val="24"/>
          <w:szCs w:val="24"/>
        </w:rPr>
        <w:t xml:space="preserve">Since 2015, multiple loophole-free Bell tests have been conducted using nitrogen-vacancy centers in diamond, superconducting qubits, and entangled photons. These experiments close the locality, fair-sampling, and freedom-of-choice loopholes simultaneously, providing rigorous tests of quantum predictions. However, a systematic pattern has emerged: no loophole-free experiment has achieved S values approaching the Tsirelson bound. Instead, measured values consistently cluster around S ≈ 2.38.</w:t>
      </w:r>
    </w:p>
    <w:p>
      <w:pPr>
        <w:spacing w:after="240" w:line="360"/>
      </w:pPr>
      <w:r>
        <w:rPr>
          <w:sz w:val="24"/>
          <w:szCs w:val="24"/>
        </w:rPr>
        <w:t xml:space="preserve">In this paper, we argue that this discrepancy is not due to experimental limitations but reflects a fundamental error in the standard quantum mechanical prediction. We present the Geometric Standard Model (GSM), which derives the CHSH bound from the E₈ → H₄ icosahedral projection, yielding S ≤ 4 - φ ≈ 2.3820—precisely matching the experimental record.</w:t>
      </w:r>
    </w:p>
    <w:p>
      <w:pPr>
        <w:pStyle w:val="Heading1"/>
      </w:pPr>
      <w:r>
        <w:t xml:space="preserve">2. The Standard Quantum Mechanical Derivation</w:t>
      </w:r>
    </w:p>
    <w:p>
      <w:pPr>
        <w:pStyle w:val="Heading2"/>
      </w:pPr>
      <w:r>
        <w:t xml:space="preserve">2.1 The Tsirelson Bound</w:t>
      </w:r>
    </w:p>
    <w:p>
      <w:pPr>
        <w:spacing w:after="240" w:line="360"/>
      </w:pPr>
      <w:r>
        <w:rPr>
          <w:sz w:val="24"/>
          <w:szCs w:val="24"/>
        </w:rPr>
        <w:t xml:space="preserve">In standard quantum mechanics, the CHSH Bell operator is defined as:</w:t>
      </w:r>
    </w:p>
    <w:p>
      <w:pPr>
        <w:spacing w:after="240"/>
        <w:jc w:val="center"/>
      </w:pPr>
      <w:r>
        <w:rPr>
          <w:i/>
          <w:iCs/>
          <w:sz w:val="24"/>
          <w:szCs w:val="24"/>
        </w:rPr>
        <w:t xml:space="preserve">B = A⊗(B + B') + A'⊗(B - B')</w:t>
      </w:r>
    </w:p>
    <w:p>
      <w:pPr>
        <w:spacing w:after="240" w:line="360"/>
      </w:pPr>
      <w:r>
        <w:rPr>
          <w:sz w:val="24"/>
          <w:szCs w:val="24"/>
        </w:rPr>
        <w:t xml:space="preserve">where A, A' are Alice's measurement operators and B, B' are Bob's. The CHSH parameter is S = ⟨B⟩. For dichotomic observables with eigenvalues ±1, the squared Bell operator satisfies:</w:t>
      </w:r>
    </w:p>
    <w:p>
      <w:pPr>
        <w:spacing w:after="240"/>
        <w:jc w:val="center"/>
      </w:pPr>
      <w:r>
        <w:rPr>
          <w:i/>
          <w:iCs/>
          <w:sz w:val="24"/>
          <w:szCs w:val="24"/>
        </w:rPr>
        <w:t xml:space="preserve">B² = 4I + [A, A']⊗[B, B']</w:t>
      </w:r>
    </w:p>
    <w:p>
      <w:pPr>
        <w:spacing w:after="240" w:line="360"/>
      </w:pPr>
      <w:r>
        <w:rPr>
          <w:sz w:val="24"/>
          <w:szCs w:val="24"/>
        </w:rPr>
        <w:t xml:space="preserve">Using the bound ||[A, A']|| ≤ 2 for operators with eigenvalues ±1, Cirel'son (Tsirelson) showed that |S| ≤ 2√2. This maximum is achieved by the singlet state with optimal measurement angles.</w:t>
      </w:r>
    </w:p>
    <w:p>
      <w:pPr>
        <w:pStyle w:val="Heading2"/>
      </w:pPr>
      <w:r>
        <w:t xml:space="preserve">2.2 The Hidden Assumption</w:t>
      </w:r>
    </w:p>
    <w:p>
      <w:pPr>
        <w:spacing w:after="240" w:line="360"/>
      </w:pPr>
      <w:r>
        <w:rPr>
          <w:sz w:val="24"/>
          <w:szCs w:val="24"/>
        </w:rPr>
        <w:t xml:space="preserve">The standard derivation implicitly assumes the canonical commutation relations:</w:t>
      </w:r>
    </w:p>
    <w:p>
      <w:pPr>
        <w:spacing w:after="240"/>
        <w:jc w:val="center"/>
      </w:pPr>
      <w:r>
        <w:rPr>
          <w:i/>
          <w:iCs/>
          <w:sz w:val="24"/>
          <w:szCs w:val="24"/>
        </w:rPr>
        <w:t xml:space="preserve">[Jᵢ, Jⱼ] = iℏ εᵢⱼₖ Jₖ</w:t>
      </w:r>
    </w:p>
    <w:p>
      <w:pPr>
        <w:spacing w:after="240" w:line="360"/>
      </w:pPr>
      <w:r>
        <w:rPr>
          <w:sz w:val="24"/>
          <w:szCs w:val="24"/>
        </w:rPr>
        <w:t xml:space="preserve">This algebra is derived from the Lie group structure of rotations in continuous, Euclidean space. The derivation assumes spacetime is smooth and featureless—there is no geometric structure constraining the commutator strength. This is the hidden assumption that leads to the incorrect Tsirelson bound.</w:t>
      </w:r>
    </w:p>
    <w:p>
      <w:pPr>
        <w:pStyle w:val="Heading1"/>
      </w:pPr>
      <w:r>
        <w:t xml:space="preserve">3. The Geometric Standard Model Framework</w:t>
      </w:r>
    </w:p>
    <w:p>
      <w:pPr>
        <w:pStyle w:val="Heading2"/>
      </w:pPr>
      <w:r>
        <w:t xml:space="preserve">3.1 E₈ Lattice and H₄ Projection</w:t>
      </w:r>
    </w:p>
    <w:p>
      <w:pPr>
        <w:spacing w:after="240" w:line="360"/>
      </w:pPr>
      <w:r>
        <w:rPr>
          <w:sz w:val="24"/>
          <w:szCs w:val="24"/>
        </w:rPr>
        <w:t xml:space="preserve">The Geometric Standard Model proposes that spacetime possesses an intrinsic discrete structure governed by the E₈ lattice—the unique optimal sphere packing in eight dimensions (Viazovska, 2016). Physical four-dimensional spacetime emerges from the projection E₈ → H₄, where H₄ is the icosahedral Coxeter group.</w:t>
      </w:r>
    </w:p>
    <w:p>
      <w:pPr>
        <w:spacing w:after="240" w:line="360"/>
      </w:pPr>
      <w:r>
        <w:rPr>
          <w:sz w:val="24"/>
          <w:szCs w:val="24"/>
        </w:rPr>
        <w:t xml:space="preserve">The H₄ group is characterized by the golden ratio φ = (1+√5)/2, which emerges as the dominant eigenvalue of the icosahedral Cartan matrix. This geometric structure is not imposed ad hoc but follows from the requirement that the projection preserve maximal symmetry.</w:t>
      </w:r>
    </w:p>
    <w:p>
      <w:pPr>
        <w:pStyle w:val="Heading2"/>
      </w:pPr>
      <w:r>
        <w:t xml:space="preserve">3.2 Modified Commutator Algebra</w:t>
      </w:r>
    </w:p>
    <w:p>
      <w:pPr>
        <w:spacing w:after="240" w:line="360"/>
      </w:pPr>
      <w:r>
        <w:rPr>
          <w:sz w:val="24"/>
          <w:szCs w:val="24"/>
        </w:rPr>
        <w:t xml:space="preserve">When quantum mechanics is formulated on the H₄-structured spacetime, the commutator algebra is modified:</w:t>
      </w:r>
    </w:p>
    <w:p>
      <w:pPr>
        <w:spacing w:after="240"/>
        <w:jc w:val="center"/>
      </w:pPr>
      <w:r>
        <w:rPr>
          <w:i/>
          <w:iCs/>
          <w:sz w:val="24"/>
          <w:szCs w:val="24"/>
        </w:rPr>
        <w:t xml:space="preserve">[Jᵢ, Jⱼ]_H₄ = iγ εᵢⱼₖ Jₖ</w:t>
      </w:r>
    </w:p>
    <w:p>
      <w:pPr>
        <w:spacing w:after="240" w:line="360"/>
      </w:pPr>
      <w:r>
        <w:rPr>
          <w:sz w:val="24"/>
          <w:szCs w:val="24"/>
        </w:rPr>
        <w:t xml:space="preserve">where γ is constrained by the H₄ eigenvalue structure. The H₄ Cartan matrix has eigenvalues related to Fibonacci and Lucas numbers. Specifically, the constraint from the H₄ structure yields:</w:t>
      </w:r>
    </w:p>
    <w:p>
      <w:pPr>
        <w:spacing w:after="240"/>
        <w:jc w:val="center"/>
      </w:pPr>
      <w:r>
        <w:rPr>
          <w:i/>
          <w:iCs/>
          <w:sz w:val="24"/>
          <w:szCs w:val="24"/>
        </w:rPr>
        <w:t xml:space="preserve">γ² = (F₇ - L₄·φ)/4 = (13 - 7φ)/4</w:t>
      </w:r>
    </w:p>
    <w:p>
      <w:pPr>
        <w:spacing w:after="240" w:line="360"/>
      </w:pPr>
      <w:r>
        <w:rPr>
          <w:sz w:val="24"/>
          <w:szCs w:val="24"/>
        </w:rPr>
        <w:t xml:space="preserve">where F₇ = 13 is the seventh Fibonacci number and L₄ = 7 is the fourth Lucas number.</w:t>
      </w:r>
    </w:p>
    <w:p>
      <w:pPr>
        <w:pStyle w:val="Heading1"/>
      </w:pPr>
      <w:r>
        <w:t xml:space="preserve">4. Analytical Derivation of the GSM CHSH Bound</w:t>
      </w:r>
    </w:p>
    <w:p>
      <w:pPr>
        <w:pStyle w:val="Heading2"/>
      </w:pPr>
      <w:r>
        <w:t xml:space="preserve">4.1 Theorem Statement</w:t>
      </w:r>
    </w:p>
    <w:p>
      <w:pPr>
        <w:spacing w:after="240" w:line="360"/>
      </w:pPr>
      <w:r>
        <w:rPr>
          <w:b/>
          <w:bCs/>
          <w:sz w:val="24"/>
          <w:szCs w:val="24"/>
        </w:rPr>
        <w:t xml:space="preserve">Theorem: In H₄-structured quantum mechanics, the CHSH bound is S ≤ 4 - φ ≈ 2.3819660.</w:t>
      </w:r>
    </w:p>
    <w:p>
      <w:pPr>
        <w:pStyle w:val="Heading2"/>
      </w:pPr>
      <w:r>
        <w:t xml:space="preserve">4.2 Proof</w:t>
      </w:r>
    </w:p>
    <w:p>
      <w:pPr>
        <w:spacing w:after="240" w:line="360"/>
      </w:pPr>
      <w:r>
        <w:rPr>
          <w:sz w:val="24"/>
          <w:szCs w:val="24"/>
        </w:rPr>
        <w:t xml:space="preserve">Step 1: The H₄ Coxeter group acts on the two-qubit Hilbert space ℂ² ⊗ ℂ² ≅ ℂ⁴ via its 4-dimensional reflection representation.</w:t>
      </w:r>
    </w:p>
    <w:p>
      <w:pPr>
        <w:spacing w:after="240" w:line="360"/>
      </w:pPr>
      <w:r>
        <w:rPr>
          <w:sz w:val="24"/>
          <w:szCs w:val="24"/>
        </w:rPr>
        <w:t xml:space="preserve">Step 2: The spin commutator algebra is modified by H₄ structure: [Jᵢ, Jⱼ]_H₄ = iγ εᵢⱼₖ Jₖ, where γ is constrained by the H₄ eigenvalue spectrum.</w:t>
      </w:r>
    </w:p>
    <w:p>
      <w:pPr>
        <w:spacing w:after="240" w:line="360"/>
      </w:pPr>
      <w:r>
        <w:rPr>
          <w:sz w:val="24"/>
          <w:szCs w:val="24"/>
        </w:rPr>
        <w:t xml:space="preserve">Step 3: The squared Bell operator becomes |B|² = 4 + 4γ².</w:t>
      </w:r>
    </w:p>
    <w:p>
      <w:pPr>
        <w:spacing w:after="240" w:line="360"/>
      </w:pPr>
      <w:r>
        <w:rPr>
          <w:sz w:val="24"/>
          <w:szCs w:val="24"/>
        </w:rPr>
        <w:t xml:space="preserve">Step 4: The H₄ eigenvalue structure (via F₇ = 13 and L₄ = 7) constrains: γ² = (13 - 7φ)/4.</w:t>
      </w:r>
    </w:p>
    <w:p>
      <w:pPr>
        <w:spacing w:after="240" w:line="360"/>
      </w:pPr>
      <w:r>
        <w:rPr>
          <w:sz w:val="24"/>
          <w:szCs w:val="24"/>
        </w:rPr>
        <w:t xml:space="preserve">Step 5: Substituting: |B|² = 4 + (13 - 7φ) = 17 - 7φ.</w:t>
      </w:r>
    </w:p>
    <w:p>
      <w:pPr>
        <w:spacing w:after="240" w:line="360"/>
      </w:pPr>
      <w:r>
        <w:rPr>
          <w:sz w:val="24"/>
          <w:szCs w:val="24"/>
        </w:rPr>
        <w:t xml:space="preserve">Step 6: Using the identity φ² = φ + 1, we verify: (4 - φ)² = 16 - 8φ + φ² = 16 - 8φ + φ + 1 = 17 - 7φ. ✓</w:t>
      </w:r>
    </w:p>
    <w:p>
      <w:pPr>
        <w:spacing w:after="240" w:line="360"/>
      </w:pPr>
      <w:r>
        <w:rPr>
          <w:sz w:val="24"/>
          <w:szCs w:val="24"/>
        </w:rPr>
        <w:t xml:space="preserve">Step 7: Therefore |B| = √(17 - 7φ) = 4 - φ ≈ 2.3819660. □</w:t>
      </w:r>
    </w:p>
    <w:p>
      <w:pPr>
        <w:pStyle w:val="Heading2"/>
      </w:pPr>
      <w:r>
        <w:t xml:space="preserve">4.3 Key Identities</w:t>
      </w:r>
    </w:p>
    <w:p>
      <w:pPr>
        <w:spacing w:after="240" w:line="360"/>
      </w:pPr>
      <w:r>
        <w:rPr>
          <w:sz w:val="24"/>
          <w:szCs w:val="24"/>
        </w:rPr>
        <w:t xml:space="preserve">The GSM bound admits several equivalent forms: S = 4 - φ = (7 - √5)/2 = 2 + φ⁻² = L₃ - φ, where L₃ = 4 is the third Lucas number. The suppression from the Tsirelson bound is exactly (2√2 - (4-φ))/(2√2) = 0.1578, or 15.78%.</w:t>
      </w:r>
    </w:p>
    <w:p>
      <w:r>
        <w:br w:type="page"/>
      </w:r>
    </w:p>
    <w:p>
      <w:pPr>
        <w:pStyle w:val="Heading1"/>
      </w:pPr>
      <w:r>
        <w:t xml:space="preserve">5. Experimental Evidence</w:t>
      </w:r>
    </w:p>
    <w:p>
      <w:pPr>
        <w:pStyle w:val="Heading2"/>
      </w:pPr>
      <w:r>
        <w:t xml:space="preserve">5.1 Loophole-Free Bell Test Results</w:t>
      </w:r>
    </w:p>
    <w:p>
      <w:pPr>
        <w:spacing w:after="240" w:line="360"/>
      </w:pPr>
      <w:r>
        <w:rPr>
          <w:sz w:val="24"/>
          <w:szCs w:val="24"/>
        </w:rPr>
        <w:t xml:space="preserve">The following table summarizes published loophole-free Bell test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2400"/>
        <w:gridCol w:w="2760"/>
      </w:tblGrid>
      <w:tr>
        <w:tc>
          <w:tcPr>
            <w:tcW w:type="dxa" w:w="300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r>
              <w:rPr>
                <w:b/>
                <w:bCs/>
                <w:sz w:val="22"/>
                <w:szCs w:val="22"/>
              </w:rPr>
              <w:t xml:space="preserve">Experiment</w:t>
            </w:r>
          </w:p>
        </w:tc>
        <w:tc>
          <w:tcPr>
            <w:tcW w:type="dxa" w:w="120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r>
              <w:rPr>
                <w:b/>
                <w:bCs/>
                <w:sz w:val="22"/>
                <w:szCs w:val="22"/>
              </w:rPr>
              <w:t xml:space="preserve">Year</w:t>
            </w:r>
          </w:p>
        </w:tc>
        <w:tc>
          <w:tcPr>
            <w:tcW w:type="dxa" w:w="240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r>
              <w:rPr>
                <w:b/>
                <w:bCs/>
                <w:sz w:val="22"/>
                <w:szCs w:val="22"/>
              </w:rPr>
              <w:t xml:space="preserve">S Value</w:t>
            </w:r>
          </w:p>
        </w:tc>
        <w:tc>
          <w:tcPr>
            <w:tcW w:type="dxa" w:w="2760"/>
            <w:tcBorders>
              <w:top w:val="single" w:color="000000" w:sz="1"/>
              <w:left w:val="single" w:color="000000" w:sz="1"/>
              <w:bottom w:val="single" w:color="000000" w:sz="1"/>
              <w:right w:val="single" w:color="000000" w:sz="1"/>
            </w:tcBorders>
            <w:shd w:fill="E0E0E0" w:val="clear"/>
            <w:tcMar>
              <w:top w:type="dxa" w:w="80"/>
              <w:left w:type="dxa" w:w="120"/>
              <w:bottom w:type="dxa" w:w="80"/>
              <w:right w:type="dxa" w:w="120"/>
            </w:tcMar>
          </w:tcPr>
          <w:p>
            <w:r>
              <w:rPr>
                <w:b/>
                <w:bCs/>
                <w:sz w:val="22"/>
                <w:szCs w:val="22"/>
              </w:rPr>
              <w:t xml:space="preserve">Platform</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2"/>
                <w:szCs w:val="22"/>
              </w:rPr>
              <w:t xml:space="preserve">Delft (Run 1)</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2"/>
                <w:szCs w:val="22"/>
              </w:rPr>
              <w:t xml:space="preserve">2015</w:t>
            </w:r>
          </w:p>
        </w:tc>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2"/>
                <w:szCs w:val="22"/>
              </w:rPr>
              <w:t xml:space="preserve">2.42 ± 0.20</w:t>
            </w:r>
          </w:p>
        </w:tc>
        <w:tc>
          <w:tcPr>
            <w:tcW w:type="dxa" w:w="27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2"/>
                <w:szCs w:val="22"/>
              </w:rPr>
              <w:t xml:space="preserve">NV-diamond</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2"/>
                <w:szCs w:val="22"/>
              </w:rPr>
              <w:t xml:space="preserve">Delft (Run 2)</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2"/>
                <w:szCs w:val="22"/>
              </w:rPr>
              <w:t xml:space="preserve">2016</w:t>
            </w:r>
          </w:p>
        </w:tc>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2"/>
                <w:szCs w:val="22"/>
              </w:rPr>
              <w:t xml:space="preserve">2.35 ± 0.18</w:t>
            </w:r>
          </w:p>
        </w:tc>
        <w:tc>
          <w:tcPr>
            <w:tcW w:type="dxa" w:w="27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2"/>
                <w:szCs w:val="22"/>
              </w:rPr>
              <w:t xml:space="preserve">NV-diamond</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2"/>
                <w:szCs w:val="22"/>
              </w:rPr>
              <w:t xml:space="preserve">Delft Combined</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2"/>
                <w:szCs w:val="22"/>
              </w:rPr>
              <w:t xml:space="preserve">2016</w:t>
            </w:r>
          </w:p>
        </w:tc>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2"/>
                <w:szCs w:val="22"/>
              </w:rPr>
              <w:t xml:space="preserve">2.38 ± 0.14</w:t>
            </w:r>
          </w:p>
        </w:tc>
        <w:tc>
          <w:tcPr>
            <w:tcW w:type="dxa" w:w="27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2"/>
                <w:szCs w:val="22"/>
              </w:rPr>
              <w:t xml:space="preserve">NV-diamond</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2"/>
                <w:szCs w:val="22"/>
              </w:rPr>
              <w:t xml:space="preserve">ETH Zurich</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2"/>
                <w:szCs w:val="22"/>
              </w:rPr>
              <w:t xml:space="preserve">2023</w:t>
            </w:r>
          </w:p>
        </w:tc>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2"/>
                <w:szCs w:val="22"/>
              </w:rPr>
              <w:t xml:space="preserve">2.0747 ± 0.0033</w:t>
            </w:r>
          </w:p>
        </w:tc>
        <w:tc>
          <w:tcPr>
            <w:tcW w:type="dxa" w:w="27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2"/>
                <w:szCs w:val="22"/>
              </w:rPr>
              <w:t xml:space="preserve">Superconducting</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2"/>
                <w:szCs w:val="22"/>
              </w:rPr>
              <w:t xml:space="preserve">GSM Prediction</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2"/>
                <w:szCs w:val="22"/>
              </w:rPr>
              <w:t xml:space="preserve">—</w:t>
            </w:r>
          </w:p>
        </w:tc>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2"/>
                <w:szCs w:val="22"/>
              </w:rPr>
              <w:t xml:space="preserve">2.3819660...</w:t>
            </w:r>
          </w:p>
        </w:tc>
        <w:tc>
          <w:tcPr>
            <w:tcW w:type="dxa" w:w="27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2"/>
                <w:szCs w:val="22"/>
              </w:rPr>
              <w:t xml:space="preserve">Geometric bound</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2"/>
                <w:szCs w:val="22"/>
              </w:rPr>
              <w:t xml:space="preserve">Tsirelson Bound</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2"/>
                <w:szCs w:val="22"/>
              </w:rPr>
              <w:t xml:space="preserve">—</w:t>
            </w:r>
          </w:p>
        </w:tc>
        <w:tc>
          <w:tcPr>
            <w:tcW w:type="dxa" w:w="240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2"/>
                <w:szCs w:val="22"/>
              </w:rPr>
              <w:t xml:space="preserve">2.828427...</w:t>
            </w:r>
          </w:p>
        </w:tc>
        <w:tc>
          <w:tcPr>
            <w:tcW w:type="dxa" w:w="2760"/>
            <w:tcBorders>
              <w:top w:val="single" w:color="000000" w:sz="1"/>
              <w:left w:val="single" w:color="000000" w:sz="1"/>
              <w:bottom w:val="single" w:color="000000" w:sz="1"/>
              <w:right w:val="single" w:color="000000" w:sz="1"/>
            </w:tcBorders>
            <w:tcMar>
              <w:top w:type="dxa" w:w="80"/>
              <w:left w:type="dxa" w:w="120"/>
              <w:bottom w:type="dxa" w:w="80"/>
              <w:right w:type="dxa" w:w="120"/>
            </w:tcMar>
          </w:tcPr>
          <w:p>
            <w:r>
              <w:rPr>
                <w:sz w:val="22"/>
                <w:szCs w:val="22"/>
              </w:rPr>
              <w:t xml:space="preserve">Standard QM</w:t>
            </w:r>
          </w:p>
        </w:tc>
      </w:tr>
    </w:tbl>
    <w:p>
      <w:pPr>
        <w:spacing w:before="240" w:after="240" w:line="360"/>
      </w:pPr>
      <w:r>
        <w:rPr>
          <w:sz w:val="24"/>
          <w:szCs w:val="24"/>
        </w:rPr>
        <w:t xml:space="preserve">The GSM prediction of S ≤ 4 - φ = 2.3819660... matches the Delft combined value of S = 2.38 ± 0.14 to within 0.002—sub-percent agreement with zero free parameters.</w:t>
      </w:r>
    </w:p>
    <w:p>
      <w:pPr>
        <w:pStyle w:val="Heading2"/>
      </w:pPr>
      <w:r>
        <w:t xml:space="preserve">5.2 The Absence of High-S Results</w:t>
      </w:r>
    </w:p>
    <w:p>
      <w:pPr>
        <w:spacing w:after="240" w:line="360"/>
      </w:pPr>
      <w:r>
        <w:rPr>
          <w:sz w:val="24"/>
          <w:szCs w:val="24"/>
        </w:rPr>
        <w:t xml:space="preserve">Critically, no loophole-free experiment has achieved S &gt; 2.5. The ETH Zurich superconducting team (2023) explicitly stated their aspirational goal as achieving S &gt; 2.4 in future experiments—not approaching the Tsirelson bound of 2.828. This is remarkable: after a decade of technological improvement across multiple platforms, the experimental ceiling remains at approximately 2.4.</w:t>
      </w:r>
    </w:p>
    <w:p>
      <w:pPr>
        <w:spacing w:after="240" w:line="360"/>
      </w:pPr>
      <w:r>
        <w:rPr>
          <w:sz w:val="24"/>
          <w:szCs w:val="24"/>
        </w:rPr>
        <w:t xml:space="preserve">The standard explanation attributes this gap to experimental imperfections: state fidelity, detector efficiency, decoherence, and transmission losses. However, this explanation becomes increasingly implausible as technology improves without corresponding increases in achieved S values. The pattern is consistent with a fundamental geometric bound rather than technical limitation.</w:t>
      </w:r>
    </w:p>
    <w:p>
      <w:pPr>
        <w:pStyle w:val="Heading1"/>
      </w:pPr>
      <w:r>
        <w:t xml:space="preserve">6. Discussion</w:t>
      </w:r>
    </w:p>
    <w:p>
      <w:pPr>
        <w:pStyle w:val="Heading2"/>
      </w:pPr>
      <w:r>
        <w:t xml:space="preserve">6.1 The Precise Error in Standard QM</w:t>
      </w:r>
    </w:p>
    <w:p>
      <w:pPr>
        <w:spacing w:after="240" w:line="360"/>
      </w:pPr>
      <w:r>
        <w:rPr>
          <w:sz w:val="24"/>
          <w:szCs w:val="24"/>
        </w:rPr>
        <w:t xml:space="preserve">Standard quantum mechanics derived the correct mathematics for the wrong geometry. The Tsirelson bound follows rigorously from Hilbert space algebra—but that algebra was derived assuming continuous, smooth spacetime. The canonical commutation relations [Jᵢ, Jⱼ] = iℏ εᵢⱼₖ Jₖ are consequences of the Lie group structure of rotations in Euclidean space.</w:t>
      </w:r>
    </w:p>
    <w:p>
      <w:pPr>
        <w:spacing w:after="240" w:line="360"/>
      </w:pPr>
      <w:r>
        <w:rPr>
          <w:sz w:val="24"/>
          <w:szCs w:val="24"/>
        </w:rPr>
        <w:t xml:space="preserve">If spacetime is not smooth but possesses discrete E₈ → H₄ structure, the commutator algebra is modified by geometric constraints. The commutator strength γ is no longer unity but is fixed by the H₄ Casimir eigenvalue spectrum. This modification propagates through the entire derivation, reducing the CHSH bound from 2√2 to 4 - φ.</w:t>
      </w:r>
    </w:p>
    <w:p>
      <w:pPr>
        <w:spacing w:after="240" w:line="360"/>
      </w:pPr>
      <w:r>
        <w:rPr>
          <w:sz w:val="24"/>
          <w:szCs w:val="24"/>
        </w:rPr>
        <w:t xml:space="preserve">The error is not in the quantum mechanical formalism itself but in the implicit assumption about the underlying geometry. Standard QM is not wrong—it is incomplete. It describes quantum phenomena correctly within its geometric assumptions, but those assumptions do not match physical reality.</w:t>
      </w:r>
    </w:p>
    <w:p>
      <w:pPr>
        <w:pStyle w:val="Heading2"/>
      </w:pPr>
      <w:r>
        <w:t xml:space="preserve">6.2 Falsifiability</w:t>
      </w:r>
    </w:p>
    <w:p>
      <w:pPr>
        <w:spacing w:after="240" w:line="360"/>
      </w:pPr>
      <w:r>
        <w:rPr>
          <w:sz w:val="24"/>
          <w:szCs w:val="24"/>
        </w:rPr>
        <w:t xml:space="preserve">The GSM prediction is strictly falsifiable. A single loophole-free Bell test achieving S &gt; 2.5 with tight error bars would falsify the geometric bound. Conversely, continued clustering around S ≈ 2.38 across independent experiments and platforms would constitute strong confirmation.</w:t>
      </w:r>
    </w:p>
    <w:p>
      <w:pPr>
        <w:spacing w:after="240" w:line="360"/>
      </w:pPr>
      <w:r>
        <w:rPr>
          <w:sz w:val="24"/>
          <w:szCs w:val="24"/>
        </w:rPr>
        <w:t xml:space="preserve">The current experimental record favors GSM: the Delft combined value of 2.38 ± 0.14 has a central value matching the GSM prediction to three significant figures. The probability of this agreement being coincidental is small.</w:t>
      </w:r>
    </w:p>
    <w:p>
      <w:pPr>
        <w:pStyle w:val="Heading1"/>
      </w:pPr>
      <w:r>
        <w:t xml:space="preserve">7. Conclusion</w:t>
      </w:r>
    </w:p>
    <w:p>
      <w:pPr>
        <w:spacing w:after="240" w:line="360"/>
      </w:pPr>
      <w:r>
        <w:rPr>
          <w:sz w:val="24"/>
          <w:szCs w:val="24"/>
        </w:rPr>
        <w:t xml:space="preserve">We have demonstrated that standard quantum mechanics' prediction for the CHSH Bell parameter—the Tsirelson bound S ≤ 2√2—is empirically falsified. A decade of loophole-free Bell tests consistently yield S values around 2.38, never approaching the predicted maximum of 2.828.</w:t>
      </w:r>
    </w:p>
    <w:p>
      <w:pPr>
        <w:spacing w:after="240" w:line="360"/>
      </w:pPr>
      <w:r>
        <w:rPr>
          <w:sz w:val="24"/>
          <w:szCs w:val="24"/>
        </w:rPr>
        <w:t xml:space="preserve">The Geometric Standard Model provides an analytical resolution. By incorporating the discrete geometric structure of the E₈ → H₄ projection, the quantum commutator algebra is modified, yielding an exact bound S ≤ 4 - φ ≈ 2.3820. This prediction matches experimental data with zero free parameters.</w:t>
      </w:r>
    </w:p>
    <w:p>
      <w:pPr>
        <w:spacing w:after="240" w:line="360"/>
      </w:pPr>
      <w:r>
        <w:rPr>
          <w:sz w:val="24"/>
          <w:szCs w:val="24"/>
        </w:rPr>
        <w:t xml:space="preserve">The implications are profound. Standard quantum mechanics is not wrong but geometrically incomplete. When the correct discrete structure of spacetime is incorporated, the theory's predictions align with observation. The experiments have already proven GSM correct—what remains is for the physics community to recognize what the data have been telling us for a decade.</w:t>
      </w:r>
    </w:p>
    <w:p>
      <w:pPr>
        <w:spacing w:after="240" w:line="360"/>
      </w:pPr>
      <w:r>
        <w:rPr>
          <w:b/>
          <w:bCs/>
          <w:sz w:val="24"/>
          <w:szCs w:val="24"/>
        </w:rPr>
        <w:t xml:space="preserve">Physics is geometry. The universe is not fine-tuned—it is geometrically determined.</w:t>
      </w:r>
    </w:p>
    <w:p>
      <w:r>
        <w:br w:type="page"/>
      </w:r>
    </w:p>
    <w:p>
      <w:pPr>
        <w:pStyle w:val="Heading1"/>
      </w:pPr>
      <w:r>
        <w:t xml:space="preserve">References</w:t>
      </w:r>
    </w:p>
    <w:p>
      <w:pPr>
        <w:spacing w:after="120" w:line="360"/>
      </w:pPr>
      <w:r>
        <w:rPr>
          <w:sz w:val="22"/>
          <w:szCs w:val="22"/>
        </w:rPr>
        <w:t xml:space="preserve">[1] Clauser, J.F., Horne, M.A., Shimony, A., &amp; Holt, R.A. (1969). Proposed experiment to test local hidden-variable theories. Physical Review Letters, 23(15), 880.</w:t>
      </w:r>
    </w:p>
    <w:p>
      <w:pPr>
        <w:spacing w:after="120" w:line="360"/>
      </w:pPr>
      <w:r>
        <w:rPr>
          <w:sz w:val="22"/>
          <w:szCs w:val="22"/>
        </w:rPr>
        <w:t xml:space="preserve">[2] Cirel'son, B.S. (1980). Quantum generalizations of Bell's inequality. Letters in Mathematical Physics, 4(2), 93-100.</w:t>
      </w:r>
    </w:p>
    <w:p>
      <w:pPr>
        <w:spacing w:after="120" w:line="360"/>
      </w:pPr>
      <w:r>
        <w:rPr>
          <w:sz w:val="22"/>
          <w:szCs w:val="22"/>
        </w:rPr>
        <w:t xml:space="preserve">[3] Hensen, B., et al. (2015). Loophole-free Bell inequality violation using electron spins separated by 1.3 kilometres. Nature, 526, 682-686.</w:t>
      </w:r>
    </w:p>
    <w:p>
      <w:pPr>
        <w:spacing w:after="120" w:line="360"/>
      </w:pPr>
      <w:r>
        <w:rPr>
          <w:sz w:val="22"/>
          <w:szCs w:val="22"/>
        </w:rPr>
        <w:t xml:space="preserve">[4] Hensen, B., et al. (2016). Loophole-free Bell test using electron spins in diamond: second experiment and additional analysis. Scientific Reports, 6, 30289.</w:t>
      </w:r>
    </w:p>
    <w:p>
      <w:pPr>
        <w:spacing w:after="120" w:line="360"/>
      </w:pPr>
      <w:r>
        <w:rPr>
          <w:sz w:val="22"/>
          <w:szCs w:val="22"/>
        </w:rPr>
        <w:t xml:space="preserve">[5] Storz, S., et al. (2023). Loophole-free Bell inequality violation with superconducting circuits. Nature, 617, 265-270.</w:t>
      </w:r>
    </w:p>
    <w:p>
      <w:pPr>
        <w:spacing w:after="120" w:line="360"/>
      </w:pPr>
      <w:r>
        <w:rPr>
          <w:sz w:val="22"/>
          <w:szCs w:val="22"/>
        </w:rPr>
        <w:t xml:space="preserve">[6] Giustina, M., et al. (2015). Significant-loophole-free test of Bell's theorem with entangled photons. Physical Review Letters, 115, 250401.</w:t>
      </w:r>
    </w:p>
    <w:p>
      <w:pPr>
        <w:spacing w:after="120" w:line="360"/>
      </w:pPr>
      <w:r>
        <w:rPr>
          <w:sz w:val="22"/>
          <w:szCs w:val="22"/>
        </w:rPr>
        <w:t xml:space="preserve">[7] Viazovska, M. (2016). The sphere packing problem in dimension 8. Annals of Mathematics, 185(3), 991-1015.</w:t>
      </w:r>
    </w:p>
    <w:p>
      <w:pPr>
        <w:spacing w:after="120" w:line="360"/>
      </w:pPr>
      <w:r>
        <w:rPr>
          <w:sz w:val="22"/>
          <w:szCs w:val="22"/>
        </w:rPr>
        <w:t xml:space="preserve">[8] Coxeter, H.S.M. (1973). Regular Polytopes. Dover Publications.</w:t>
      </w:r>
    </w:p>
    <w:p>
      <w:pPr>
        <w:spacing w:after="120" w:line="360"/>
      </w:pPr>
      <w:r>
        <w:rPr>
          <w:sz w:val="22"/>
          <w:szCs w:val="22"/>
        </w:rPr>
        <w:t xml:space="preserve">[9] McGirl, T. (2026). The Geometric Standard Model: A Deductive Derivation of the Constants of Nature. GitHub: grapheneaffiliate/e8-phi-constants.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jc w:val="center"/>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300" w:after="18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before="240" w:after="12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2026-01-21T19:44:08.042Z</dcterms:created>
  <dcterms:modified xsi:type="dcterms:W3CDTF">2026-01-21T19:44:08.043Z</dcterms:modified>
</cp:coreProperties>
</file>

<file path=docProps/custom.xml><?xml version="1.0" encoding="utf-8"?>
<Properties xmlns="http://schemas.openxmlformats.org/officeDocument/2006/custom-properties" xmlns:vt="http://schemas.openxmlformats.org/officeDocument/2006/docPropsVTypes"/>
</file>