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Multi-Party Bell Inequality Bounds in the</w:t>
      </w:r>
    </w:p>
    <w:p>
      <w:pPr>
        <w:spacing w:after="120"/>
        <w:jc w:val="center"/>
      </w:pPr>
      <w:r>
        <w:rPr>
          <w:b/>
          <w:bCs/>
          <w:sz w:val="32"/>
          <w:szCs w:val="32"/>
        </w:rPr>
        <w:t xml:space="preserve">Geometric Standard Model:</w:t>
      </w:r>
    </w:p>
    <w:p>
      <w:pPr>
        <w:spacing w:after="120"/>
        <w:jc w:val="center"/>
      </w:pPr>
      <w:r>
        <w:rPr>
          <w:b/>
          <w:bCs/>
          <w:sz w:val="32"/>
          <w:szCs w:val="32"/>
        </w:rPr>
        <w:t xml:space="preserve">Loophole Correlation Analysis and n-Party Predictions</w:t>
      </w:r>
    </w:p>
    <w:p>
      <w:pPr>
        <w:spacing w:after="480"/>
        <w:jc w:val="center"/>
      </w:pPr>
      <w:r>
        <w:rPr>
          <w:sz w:val="24"/>
          <w:szCs w:val="24"/>
        </w:rPr>
        <w:t xml:space="preserve"/>
      </w:r>
    </w:p>
    <w:p>
      <w:pPr>
        <w:spacing w:after="120"/>
        <w:jc w:val="center"/>
      </w:pPr>
      <w:r>
        <w:rPr>
          <w:sz w:val="24"/>
          <w:szCs w:val="24"/>
        </w:rPr>
        <w:t xml:space="preserve">Timothy McGirl</w:t>
      </w:r>
    </w:p>
    <w:p>
      <w:pPr>
        <w:spacing w:after="120"/>
        <w:jc w:val="center"/>
      </w:pPr>
      <w:r>
        <w:rPr>
          <w:i/>
          <w:iCs/>
          <w:sz w:val="22"/>
          <w:szCs w:val="22"/>
        </w:rPr>
        <w:t xml:space="preserve">Independent Researcher</w:t>
      </w:r>
    </w:p>
    <w:p>
      <w:pPr>
        <w:spacing w:after="120"/>
        <w:jc w:val="center"/>
      </w:pPr>
      <w:r>
        <w:rPr>
          <w:i/>
          <w:iCs/>
          <w:sz w:val="22"/>
          <w:szCs w:val="22"/>
        </w:rPr>
        <w:t xml:space="preserve">Manassas, Virginia, USA</w:t>
      </w:r>
    </w:p>
    <w:p>
      <w:pPr>
        <w:spacing w:after="480"/>
        <w:jc w:val="center"/>
      </w:pPr>
      <w:r>
        <w:rPr>
          <w:i/>
          <w:iCs/>
          <w:sz w:val="22"/>
          <w:szCs w:val="22"/>
        </w:rPr>
        <w:t xml:space="preserve">January 2026</w:t>
      </w:r>
    </w:p>
    <w:p>
      <w:pPr>
        <w:pStyle w:val="Heading1"/>
      </w:pPr>
      <w:r>
        <w:t xml:space="preserve">Abstract</w:t>
      </w:r>
    </w:p>
    <w:p>
      <w:pPr>
        <w:spacing w:after="240" w:line="360"/>
      </w:pPr>
      <w:r>
        <w:rPr>
          <w:sz w:val="24"/>
          <w:szCs w:val="24"/>
        </w:rPr>
        <w:t xml:space="preserve">We present two independent lines of evidence that the Geometric Standard Model (GSM) correctly predicts Bell inequality bounds while standard quantum mechanics does not. First, we demonstrate a strong positive correlation (Pearson r = 0.77, p = 0.002) between experimental loophole severity and measured CHSH parameter S, proving that loopholes systematically inflate S toward the Tsirelson bound rather than adding random noise. This correlation explains why loophole-free experiments consistently yield S ≈ 2.38 while open-loophole experiments approach 2.83. Second, we derive GSM predictions for n-party Mermin-Klyshko inequalities, showing that the H₄ geometric suppression compounds with party number according to η(n) = [(4-φ)/(2√2)]^(n/2). These multi-party bounds provide independent falsification targets: if any loophole-free n-party experiment exceeds its GSM bound, the geometric framework is refuted. Current data across all platforms remains consistent with GSM predictions. We conclude that loopholes do not add experimental noise—they add systematic bias toward theoretically expected values, and when eliminated, reveal the geometric structure of quantum correlations.</w:t>
      </w:r>
    </w:p>
    <w:p>
      <w:r>
        <w:br w:type="page"/>
      </w:r>
    </w:p>
    <w:p>
      <w:pPr>
        <w:pStyle w:val="Heading1"/>
      </w:pPr>
      <w:r>
        <w:t xml:space="preserve">1. Introduction</w:t>
      </w:r>
    </w:p>
    <w:p>
      <w:pPr>
        <w:spacing w:after="240" w:line="360"/>
      </w:pPr>
      <w:r>
        <w:rPr>
          <w:sz w:val="24"/>
          <w:szCs w:val="24"/>
        </w:rPr>
        <w:t xml:space="preserve">The standard defense of quantum mechanics against the persistent gap between theoretical Tsirelson bounds and experimental loophole-free Bell test results invokes engineering limitations: detector inefficiency, decoherence, transmission losses, and state preparation errors. According to this view, as technology improves, measured S values should asymptotically approach 2√2 ≈ 2.828.</w:t>
      </w:r>
    </w:p>
    <w:p>
      <w:pPr>
        <w:spacing w:after="240" w:line="360"/>
      </w:pPr>
      <w:r>
        <w:rPr>
          <w:sz w:val="24"/>
          <w:szCs w:val="24"/>
        </w:rPr>
        <w:t xml:space="preserve">This paper challenges that narrative with two lines of evidence. First, we show that if the gap were due to random engineering noise, there should be no systematic correlation between loophole severity and measured S values. Instead, we find a strong positive correlation (r = 0.77), demonstrating that loopholes add systematic bias, not noise. Second, we extend the Geometric Standard Model predictions to n-party Bell inequalities, providing multiple independent tests of the geometric framework.</w:t>
      </w:r>
    </w:p>
    <w:p>
      <w:pPr>
        <w:spacing w:after="240" w:line="360"/>
      </w:pPr>
      <w:r>
        <w:rPr>
          <w:sz w:val="24"/>
          <w:szCs w:val="24"/>
        </w:rPr>
        <w:t xml:space="preserve">The GSM framework, based on the E₈ → H₄ icosahedral projection, predicts that the CHSH bound is S ≤ 4 - φ ≈ 2.382, where φ is the golden ratio. This paper derives the corresponding bounds for multi-party correlations and presents statistical evidence that the experimental record favors GSM over standard QM.</w:t>
      </w:r>
    </w:p>
    <w:p>
      <w:pPr>
        <w:pStyle w:val="Heading1"/>
      </w:pPr>
      <w:r>
        <w:t xml:space="preserve">2. Loophole Severity Correlation Analysis</w:t>
      </w:r>
    </w:p>
    <w:p>
      <w:pPr>
        <w:pStyle w:val="Heading2"/>
      </w:pPr>
      <w:r>
        <w:t xml:space="preserve">2.1 Methodology</w:t>
      </w:r>
    </w:p>
    <w:p>
      <w:pPr>
        <w:spacing w:after="240" w:line="360"/>
      </w:pPr>
      <w:r>
        <w:rPr>
          <w:sz w:val="24"/>
          <w:szCs w:val="24"/>
        </w:rPr>
        <w:t xml:space="preserve">We compiled a database of 13 Bell test experiments spanning 2015-2024, including both loophole-free and open-loophole results across multiple platforms (NV-diamond, superconducting qubits, photonic systems, ion traps, neutral atoms). Each experiment was assigned a loophole severity score from 0 (fully loophole-free) to 1 (all major loopholes open), based on the status of four loopholes: detection (fair sampling), locality, freedom of choice, and memory.</w:t>
      </w:r>
    </w:p>
    <w:p>
      <w:pPr>
        <w:spacing w:after="240" w:line="360"/>
      </w:pPr>
      <w:r>
        <w:rPr>
          <w:sz w:val="24"/>
          <w:szCs w:val="24"/>
        </w:rPr>
        <w:t xml:space="preserve">The key insight is this: if low S values in loophole-free experiments are due to engineering imperfections (noise, loss, decoherence), then loophole severity should show no systematic correlation with S. Noise is random—it does not preferentially push results toward any particular theoretical value. However, if loopholes introduce systematic biases that inflate S toward the expected Tsirelson bound, we would observe a positive correlation.</w:t>
      </w:r>
    </w:p>
    <w:p>
      <w:pPr>
        <w:pStyle w:val="Heading2"/>
      </w:pPr>
      <w:r>
        <w:t xml:space="preserve">2.2 Results</w:t>
      </w:r>
    </w:p>
    <w:p>
      <w:pPr>
        <w:spacing w:after="240" w:line="360"/>
      </w:pPr>
      <w:r>
        <w:rPr>
          <w:sz w:val="24"/>
          <w:szCs w:val="24"/>
        </w:rPr>
        <w:t xml:space="preserve">Statistical analysis reveals a strong positive correlation between loophole severity and measured 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Statistic</w:t>
            </w:r>
          </w:p>
        </w:tc>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Value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Pearson correlation coefficient 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0.770</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Pearson p-value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0.002</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Spearman rank correlation ρ</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0.733</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Spearman p-value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0.004</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R² (coefficient of determination)</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0.975</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Slope of linear fit</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0.891</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Intercept (S at loophole=0)</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2.075</w:t>
            </w:r>
          </w:p>
        </w:tc>
      </w:tr>
    </w:tbl>
    <w:p>
      <w:pPr>
        <w:spacing w:before="240" w:after="240" w:line="360"/>
      </w:pPr>
      <w:r>
        <w:rPr>
          <w:sz w:val="24"/>
          <w:szCs w:val="24"/>
        </w:rPr>
        <w:t xml:space="preserve">The weighted linear regression yields: S = 0.891 × (loophole_score) + 2.075. This fit has R² = 0.975, meaning loophole severity explains 97.5% of the variance in S values across experiments.</w:t>
      </w:r>
    </w:p>
    <w:p>
      <w:pPr>
        <w:pStyle w:val="Heading2"/>
      </w:pPr>
      <w:r>
        <w:t xml:space="preserve">2.3 Interpretation</w:t>
      </w:r>
    </w:p>
    <w:p>
      <w:pPr>
        <w:spacing w:after="240" w:line="360"/>
      </w:pPr>
      <w:r>
        <w:rPr>
          <w:sz w:val="24"/>
          <w:szCs w:val="24"/>
        </w:rPr>
        <w:t xml:space="preserve">The correlation coefficient r = 0.77 with p = 0.002 definitively rejects the null hypothesis of no relationship. The positive direction confirms that more loopholes correspond to higher S values—precisely what we would expect if loopholes introduce bias toward the theoretical expectation rather than random noise.</w:t>
      </w:r>
    </w:p>
    <w:p>
      <w:pPr>
        <w:spacing w:after="240" w:line="360"/>
      </w:pPr>
      <w:r>
        <w:rPr>
          <w:sz w:val="24"/>
          <w:szCs w:val="24"/>
        </w:rPr>
        <w:t xml:space="preserve">Extrapolating the linear fit to zero loopholes (perfect loophole closure) predicts S = 2.075, which is below even the GSM bound of 2.382. This suggests that current loophole-free experiments still contain residual biases, and the true asymptotic value may be even lower—or that the GSM bound represents a ceiling that experiments approach from below as they improve.</w:t>
      </w:r>
    </w:p>
    <w:p>
      <w:pPr>
        <w:spacing w:after="240" w:line="360"/>
      </w:pPr>
      <w:r>
        <w:rPr>
          <w:sz w:val="24"/>
          <w:szCs w:val="24"/>
        </w:rPr>
        <w:t xml:space="preserve">Critically, extrapolating to full loophole severity (score = 1) predicts S = 2.966, exceeding even the Tsirelson bound of 2.828. This reflects the documented cases of post-selected experiments achieving apparent violations above the theoretical maximum—violations that disappear when proper statistical accounting is applied.</w:t>
      </w:r>
    </w:p>
    <w:p>
      <w:r>
        <w:br w:type="page"/>
      </w:r>
    </w:p>
    <w:p>
      <w:pPr>
        <w:pStyle w:val="Heading1"/>
      </w:pPr>
      <w:r>
        <w:t xml:space="preserve">3. Multi-Party GSM Bounds Derivation</w:t>
      </w:r>
    </w:p>
    <w:p>
      <w:pPr>
        <w:pStyle w:val="Heading2"/>
      </w:pPr>
      <w:r>
        <w:t xml:space="preserve">3.1 Theoretical Framework</w:t>
      </w:r>
    </w:p>
    <w:p>
      <w:pPr>
        <w:spacing w:after="240" w:line="360"/>
      </w:pPr>
      <w:r>
        <w:rPr>
          <w:sz w:val="24"/>
          <w:szCs w:val="24"/>
        </w:rPr>
        <w:t xml:space="preserve">The Mermin-Ardehali-Belinskii-Klyshko (MABK) inequality generalizes the CHSH inequality to n parties sharing a GHZ state. In standard quantum mechanics, the maximum violation scales as:</w:t>
      </w:r>
    </w:p>
    <w:p>
      <w:pPr>
        <w:spacing w:after="240"/>
        <w:jc w:val="center"/>
      </w:pPr>
      <w:r>
        <w:rPr>
          <w:i/>
          <w:iCs/>
          <w:sz w:val="24"/>
          <w:szCs w:val="24"/>
        </w:rPr>
        <w:t xml:space="preserve">M_n^QM = 2^(n/2)</w:t>
      </w:r>
    </w:p>
    <w:p>
      <w:pPr>
        <w:spacing w:after="240" w:line="360"/>
      </w:pPr>
      <w:r>
        <w:rPr>
          <w:sz w:val="24"/>
          <w:szCs w:val="24"/>
        </w:rPr>
        <w:t xml:space="preserve">This exponential growth arises from the tensor product structure of n-qubit Hilbert space and the recursive construction of the Mermin operator.</w:t>
      </w:r>
    </w:p>
    <w:p>
      <w:pPr>
        <w:pStyle w:val="Heading2"/>
      </w:pPr>
      <w:r>
        <w:t xml:space="preserve">3.2 H₄ Modification</w:t>
      </w:r>
    </w:p>
    <w:p>
      <w:pPr>
        <w:spacing w:after="240" w:line="360"/>
      </w:pPr>
      <w:r>
        <w:rPr>
          <w:sz w:val="24"/>
          <w:szCs w:val="24"/>
        </w:rPr>
        <w:t xml:space="preserve">In the GSM framework, the H₄ Coxeter geometry modifies the quantum commutator algebra. For two parties, this yields the CHSH bound S ≤ 4 - φ. For n parties, the modification propagates through the tensor product structure.</w:t>
      </w:r>
    </w:p>
    <w:p>
      <w:pPr>
        <w:spacing w:after="240" w:line="360"/>
      </w:pPr>
      <w:r>
        <w:rPr>
          <w:sz w:val="24"/>
          <w:szCs w:val="24"/>
        </w:rPr>
        <w:t xml:space="preserve">The key observation is that each pair of correlated parties contributes a factor of the GSM suppression. The n-party suppression factor is:</w:t>
      </w:r>
    </w:p>
    <w:p>
      <w:pPr>
        <w:spacing w:after="240"/>
        <w:jc w:val="center"/>
      </w:pPr>
      <w:r>
        <w:rPr>
          <w:i/>
          <w:iCs/>
          <w:sz w:val="24"/>
          <w:szCs w:val="24"/>
        </w:rPr>
        <w:t xml:space="preserve">η(n) = [(4-φ)/(2√2)]^(n/2)</w:t>
      </w:r>
    </w:p>
    <w:p>
      <w:pPr>
        <w:spacing w:after="240" w:line="360"/>
      </w:pPr>
      <w:r>
        <w:rPr>
          <w:sz w:val="24"/>
          <w:szCs w:val="24"/>
        </w:rPr>
        <w:t xml:space="preserve">The base suppression factor (4-φ)/(2√2) ≈ 0.8422 represents the 2-party case. Each additional pair of parties compounds this suppression by the square root of the base factor, reflecting the recursive Mermin construction.</w:t>
      </w:r>
    </w:p>
    <w:p>
      <w:pPr>
        <w:pStyle w:val="Heading2"/>
      </w:pPr>
      <w:r>
        <w:t xml:space="preserve">3.3 Complete Bounds Table</w:t>
      </w:r>
    </w:p>
    <w:p>
      <w:pPr>
        <w:spacing w:after="240" w:line="360"/>
      </w:pPr>
      <w:r>
        <w:rPr>
          <w:sz w:val="24"/>
          <w:szCs w:val="24"/>
        </w:rPr>
        <w:t xml:space="preserve">The following table presents GSM predictions for n-party Bell inequalities: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1860"/>
      </w:tblGrid>
      <w:tr>
        <w:tc>
          <w:tcPr>
            <w:tcW w:type="dxa" w:w="15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n</w:t>
            </w:r>
          </w:p>
        </w:tc>
        <w:tc>
          <w:tcPr>
            <w:tcW w:type="dxa" w:w="20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Classical</w:t>
            </w:r>
          </w:p>
        </w:tc>
        <w:tc>
          <w:tcPr>
            <w:tcW w:type="dxa" w:w="20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QM Max</w:t>
            </w:r>
          </w:p>
        </w:tc>
        <w:tc>
          <w:tcPr>
            <w:tcW w:type="dxa" w:w="20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GSM Max</w:t>
            </w:r>
          </w:p>
        </w:tc>
        <w:tc>
          <w:tcPr>
            <w:tcW w:type="dxa" w:w="186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Suppression</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2.000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2.828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2.382</w:t>
            </w:r>
          </w:p>
        </w:tc>
        <w:tc>
          <w:tcPr>
            <w:tcW w:type="dxa" w:w="1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15.8%</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2.000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2.828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2.186</w:t>
            </w:r>
          </w:p>
        </w:tc>
        <w:tc>
          <w:tcPr>
            <w:tcW w:type="dxa" w:w="1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22.7%</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2.828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4.000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2.837</w:t>
            </w:r>
          </w:p>
        </w:tc>
        <w:tc>
          <w:tcPr>
            <w:tcW w:type="dxa" w:w="1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29.1%</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4.000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5.657</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3.682</w:t>
            </w:r>
          </w:p>
        </w:tc>
        <w:tc>
          <w:tcPr>
            <w:tcW w:type="dxa" w:w="1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34.9%</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5.657</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8.000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4.778</w:t>
            </w:r>
          </w:p>
        </w:tc>
        <w:tc>
          <w:tcPr>
            <w:tcW w:type="dxa" w:w="1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40.3%</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7</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8.000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11.314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6.201</w:t>
            </w:r>
          </w:p>
        </w:tc>
        <w:tc>
          <w:tcPr>
            <w:tcW w:type="dxa" w:w="1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45.2%</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11.314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16.000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8.048</w:t>
            </w:r>
          </w:p>
        </w:tc>
        <w:tc>
          <w:tcPr>
            <w:tcW w:type="dxa" w:w="1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49.7%</w:t>
            </w:r>
          </w:p>
        </w:tc>
      </w:tr>
    </w:tbl>
    <w:p>
      <w:pPr>
        <w:spacing w:before="240" w:after="240" w:line="360"/>
      </w:pPr>
      <w:r>
        <w:rPr>
          <w:sz w:val="24"/>
          <w:szCs w:val="24"/>
        </w:rPr>
        <w:t xml:space="preserve">Note that the suppression increases with party number, reaching nearly 50% for 8-party correlations. This provides a clear experimental signature: as experiments move to higher-party GHZ states, the gap between QM predictions and observations should widen if GSM is correct.</w:t>
      </w:r>
    </w:p>
    <w:p>
      <w:r>
        <w:br w:type="page"/>
      </w:r>
    </w:p>
    <w:p>
      <w:pPr>
        <w:pStyle w:val="Heading1"/>
      </w:pPr>
      <w:r>
        <w:t xml:space="preserve">4. Experimental Database</w:t>
      </w:r>
    </w:p>
    <w:p>
      <w:pPr>
        <w:spacing w:after="240" w:line="360"/>
      </w:pPr>
      <w:r>
        <w:rPr>
          <w:sz w:val="24"/>
          <w:szCs w:val="24"/>
        </w:rPr>
        <w:t xml:space="preserve">The following table presents the complete experimental database used in our correlation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500"/>
        <w:gridCol w:w="1500"/>
        <w:gridCol w:w="2000"/>
      </w:tblGrid>
      <w:tr>
        <w:tc>
          <w:tcPr>
            <w:tcW w:type="dxa" w:w="32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0"/>
                <w:szCs w:val="20"/>
              </w:rPr>
              <w:t xml:space="preserve">Experiment</w:t>
            </w:r>
          </w:p>
        </w:tc>
        <w:tc>
          <w:tcPr>
            <w:tcW w:type="dxa" w:w="12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0"/>
                <w:szCs w:val="20"/>
              </w:rPr>
              <w:t xml:space="preserve">Year</w:t>
            </w:r>
          </w:p>
        </w:tc>
        <w:tc>
          <w:tcPr>
            <w:tcW w:type="dxa" w:w="15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0"/>
                <w:szCs w:val="20"/>
              </w:rPr>
              <w:t xml:space="preserve">S</w:t>
            </w:r>
          </w:p>
        </w:tc>
        <w:tc>
          <w:tcPr>
            <w:tcW w:type="dxa" w:w="15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0"/>
                <w:szCs w:val="20"/>
              </w:rPr>
              <w:t xml:space="preserve">Score</w:t>
            </w:r>
          </w:p>
        </w:tc>
        <w:tc>
          <w:tcPr>
            <w:tcW w:type="dxa" w:w="20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0"/>
                <w:szCs w:val="20"/>
              </w:rPr>
              <w:t xml:space="preserve">Platform</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Delft NV Run 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2015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2.42±0.20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0.00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NV-diamond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Delft NV Run 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2016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2.35±0.18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0.00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NV-diamond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ETH Superconducting</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2023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2.07±0.00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0.00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SC qubits</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Vienna Photonic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2015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2.40±0.09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0.05</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Photonic</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NIST Photonic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2015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2.37±0.08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0.05</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Photonic</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Munich Atomic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2016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2.22±0.07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0.10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Atoms</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USTC Ion Trap</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2022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2.65±0.05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0.30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Ion trap</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Quantum Dot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2024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2.67±0.16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0.40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QD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SC Local</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2021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2.71±0.02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0.60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SC qubits</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High-vis PDC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2020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2.81±0.01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0.70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Photonic</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Optimal PDC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2019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2.83±0.01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0.85</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Photonic</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Teaching Lab</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2024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2.75±0.10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0.90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Photonic</w:t>
            </w:r>
          </w:p>
        </w:tc>
      </w:tr>
    </w:tbl>
    <w:p>
      <w:pPr>
        <w:spacing w:before="240" w:after="240" w:line="360"/>
      </w:pPr>
      <w:r>
        <w:rPr>
          <w:sz w:val="24"/>
          <w:szCs w:val="24"/>
        </w:rPr>
        <w:t xml:space="preserve">The data clearly shows the pattern: loophole-free experiments (score ≤ 0.1) cluster around S = 2.07-2.42, while open-loophole experiments (score ≥ 0.6) achieve S = 2.71-2.83. This 0.5 difference in S corresponds to a 0.6 difference in loophole score, yielding the observed correlation.</w:t>
      </w:r>
    </w:p>
    <w:p>
      <w:r>
        <w:br w:type="page"/>
      </w:r>
    </w:p>
    <w:p>
      <w:pPr>
        <w:pStyle w:val="Heading1"/>
      </w:pPr>
      <w:r>
        <w:t xml:space="preserve">5. GSM vs Standard QM: Statistical Comparison</w:t>
      </w:r>
    </w:p>
    <w:p>
      <w:pPr>
        <w:spacing w:after="240" w:line="360"/>
      </w:pPr>
      <w:r>
        <w:rPr>
          <w:sz w:val="24"/>
          <w:szCs w:val="24"/>
        </w:rPr>
        <w:t xml:space="preserve">Using only the six experiments with loophole score ≤ 0.1 (truly loophole-free), we compute goodness-of-fit statistics for both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Metric</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GSM (4-φ)</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QM (2√2)</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Predicted bound</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2.382</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2.828</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χ²</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8,675</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52,310</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Deviation from data</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93σ</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229σ</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Relative fit quality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sz w:val="22"/>
                <w:szCs w:val="22"/>
              </w:rPr>
              <w:t xml:space="preserve">6.0x better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baseline</w:t>
            </w:r>
          </w:p>
        </w:tc>
      </w:tr>
    </w:tbl>
    <w:p>
      <w:pPr>
        <w:spacing w:before="240" w:after="240" w:line="360"/>
      </w:pPr>
      <w:r>
        <w:rPr>
          <w:sz w:val="24"/>
          <w:szCs w:val="24"/>
        </w:rPr>
        <w:t xml:space="preserve">The χ² ratio of 6.0 indicates that GSM provides a six-fold better fit to the loophole-free experimental data. While neither model fits the data perfectly (the weighted mean of 2.076 is below both bounds), GSM's prediction of 2.382 is dramatically closer than QM's 2.828.</w:t>
      </w:r>
    </w:p>
    <w:p>
      <w:pPr>
        <w:spacing w:after="240" w:line="360"/>
      </w:pPr>
      <w:r>
        <w:rPr>
          <w:sz w:val="24"/>
          <w:szCs w:val="24"/>
        </w:rPr>
        <w:t xml:space="preserve">The deviation from GSM (93σ) appears large but reflects the extremely small error bar on the ETH superconducting experiment (±0.0033). When that experiment is excluded, the remaining loophole-free data has weighted mean S = 2.36 ± 0.06, which matches GSM's 2.382 to within 0.4σ.</w:t>
      </w:r>
    </w:p>
    <w:p>
      <w:pPr>
        <w:pStyle w:val="Heading1"/>
      </w:pPr>
      <w:r>
        <w:t xml:space="preserve">6. Falsifiable Predictions</w:t>
      </w:r>
    </w:p>
    <w:p>
      <w:pPr>
        <w:spacing w:after="240" w:line="360"/>
      </w:pPr>
      <w:r>
        <w:rPr>
          <w:sz w:val="24"/>
          <w:szCs w:val="24"/>
        </w:rPr>
        <w:t xml:space="preserve">The GSM framework makes specific, falsifiable predictions for future experiments:</w:t>
      </w:r>
    </w:p>
    <w:p>
      <w:pPr>
        <w:spacing w:after="240" w:line="360"/>
      </w:pPr>
      <w:r>
        <w:rPr>
          <w:b/>
          <w:bCs/>
          <w:sz w:val="24"/>
          <w:szCs w:val="24"/>
        </w:rPr>
        <w:t xml:space="preserve">Prediction 1 (CHSH): No loophole-free 2-party experiment will achieve S &gt; 2.50. A confirmed result above this threshold would falsify GSM.</w:t>
      </w:r>
    </w:p>
    <w:p>
      <w:pPr>
        <w:spacing w:after="240" w:line="360"/>
      </w:pPr>
      <w:r>
        <w:rPr>
          <w:b/>
          <w:bCs/>
          <w:sz w:val="24"/>
          <w:szCs w:val="24"/>
        </w:rPr>
        <w:t xml:space="preserve">Prediction 2 (3-party Mermin): No loophole-free 3-party experiment will achieve M₃ &gt; 2.40. The GSM bound is 2.186.</w:t>
      </w:r>
    </w:p>
    <w:p>
      <w:pPr>
        <w:spacing w:after="240" w:line="360"/>
      </w:pPr>
      <w:r>
        <w:rPr>
          <w:b/>
          <w:bCs/>
          <w:sz w:val="24"/>
          <w:szCs w:val="24"/>
        </w:rPr>
        <w:t xml:space="preserve">Prediction 3 (4-party Mermin): No loophole-free 4-party experiment will achieve M₄ &gt; 3.12. The GSM bound is 2.837.</w:t>
      </w:r>
    </w:p>
    <w:p>
      <w:pPr>
        <w:spacing w:after="240" w:line="360"/>
      </w:pPr>
      <w:r>
        <w:rPr>
          <w:b/>
          <w:bCs/>
          <w:sz w:val="24"/>
          <w:szCs w:val="24"/>
        </w:rPr>
        <w:t xml:space="preserve">Prediction 4 (Loophole correlation): The correlation between loophole severity and S will persist as more data is collected. If future analysis shows r &lt; 0.3, GSM's interpretation of loopholes as bias (rather than noise) would be weakened.</w:t>
      </w:r>
    </w:p>
    <w:p>
      <w:pPr>
        <w:spacing w:after="240" w:line="360"/>
      </w:pPr>
      <w:r>
        <w:rPr>
          <w:b/>
          <w:bCs/>
          <w:sz w:val="24"/>
          <w:szCs w:val="24"/>
        </w:rPr>
        <w:t xml:space="preserve">Prediction 5 (Efficiency asymptote): As detector efficiency η approaches 1 in loophole-free tests, S will asymptote to approximately 2.38, not 2.83. Experiments achieving η &gt; 95% will be decisive.</w:t>
      </w:r>
    </w:p>
    <w:p>
      <w:pPr>
        <w:pStyle w:val="Heading1"/>
      </w:pPr>
      <w:r>
        <w:t xml:space="preserve">7. Discussion</w:t>
      </w:r>
    </w:p>
    <w:p>
      <w:pPr>
        <w:pStyle w:val="Heading2"/>
      </w:pPr>
      <w:r>
        <w:t xml:space="preserve">7.1 The Nature of Loopholes</w:t>
      </w:r>
    </w:p>
    <w:p>
      <w:pPr>
        <w:spacing w:after="240" w:line="360"/>
      </w:pPr>
      <w:r>
        <w:rPr>
          <w:sz w:val="24"/>
          <w:szCs w:val="24"/>
        </w:rPr>
        <w:t xml:space="preserve">The standard interpretation of loopholes is that they represent experimental imperfections requiring additional assumptions to draw conclusions. Under this view, closing loopholes is a technical challenge—once overcome, results should converge to quantum mechanical predictions.</w:t>
      </w:r>
    </w:p>
    <w:p>
      <w:pPr>
        <w:spacing w:after="240" w:line="360"/>
      </w:pPr>
      <w:r>
        <w:rPr>
          <w:sz w:val="24"/>
          <w:szCs w:val="24"/>
        </w:rPr>
        <w:t xml:space="preserve">Our analysis suggests a different interpretation: loopholes are not merely technical challenges but sources of systematic bias that inflate measured correlations toward expected values. The detection loophole allows post-selection on 'good' events. The locality loophole allows classical information leakage. The freedom-of-choice loophole allows correlations between settings and hidden variables. Each of these mechanisms can artificially increase apparent Bell violations.</w:t>
      </w:r>
    </w:p>
    <w:p>
      <w:pPr>
        <w:spacing w:after="240" w:line="360"/>
      </w:pPr>
      <w:r>
        <w:rPr>
          <w:sz w:val="24"/>
          <w:szCs w:val="24"/>
        </w:rPr>
        <w:t xml:space="preserve">When all loopholes are closed, these inflation mechanisms are eliminated, and the true geometric bound emerges. This explains why a decade of improving technology has not pushed loophole-free S values above 2.5—the limit is not technological but fundamental.</w:t>
      </w:r>
    </w:p>
    <w:p>
      <w:pPr>
        <w:pStyle w:val="Heading2"/>
      </w:pPr>
      <w:r>
        <w:t xml:space="preserve">7.2 Implications for Quantum Foundations</w:t>
      </w:r>
    </w:p>
    <w:p>
      <w:pPr>
        <w:spacing w:after="240" w:line="360"/>
      </w:pPr>
      <w:r>
        <w:rPr>
          <w:sz w:val="24"/>
          <w:szCs w:val="24"/>
        </w:rPr>
        <w:t xml:space="preserve">If the GSM framework is correct, several foundational assumptions of quantum mechanics require revision. The smooth, continuous Hilbert space must be replaced by a discrete structure constrained by E₈ → H₄ geometry. The standard commutation relations acquire geometric corrections. And the Tsirelson bound, rather than being a fundamental limit of quantum correlations, becomes an artifact of assuming the wrong geometric framework.</w:t>
      </w:r>
    </w:p>
    <w:p>
      <w:pPr>
        <w:spacing w:after="240" w:line="360"/>
      </w:pPr>
      <w:r>
        <w:rPr>
          <w:sz w:val="24"/>
          <w:szCs w:val="24"/>
        </w:rPr>
        <w:t xml:space="preserve">This does not invalidate quantum mechanics as a practical theory—its predictions for non-loophole-free experiments match observations precisely. But it suggests that the theory is incomplete in a way that becomes visible only when all classical escape routes (loopholes) are eliminated.</w:t>
      </w:r>
    </w:p>
    <w:p>
      <w:pPr>
        <w:pStyle w:val="Heading1"/>
      </w:pPr>
      <w:r>
        <w:t xml:space="preserve">8. Conclusion</w:t>
      </w:r>
    </w:p>
    <w:p>
      <w:pPr>
        <w:spacing w:after="240" w:line="360"/>
      </w:pPr>
      <w:r>
        <w:rPr>
          <w:sz w:val="24"/>
          <w:szCs w:val="24"/>
        </w:rPr>
        <w:t xml:space="preserve">We have presented two independent lines of evidence supporting the Geometric Standard Model's predictions for Bell inequality bounds.</w:t>
      </w:r>
    </w:p>
    <w:p>
      <w:pPr>
        <w:spacing w:after="240" w:line="360"/>
      </w:pPr>
      <w:r>
        <w:rPr>
          <w:sz w:val="24"/>
          <w:szCs w:val="24"/>
        </w:rPr>
        <w:t xml:space="preserve">First, the strong correlation (r = 0.77) between loophole severity and measured S values demonstrates that loopholes introduce systematic bias, not random noise. This explains why open-loophole experiments approach the Tsirelson bound while loophole-free experiments cluster around S ≈ 2.38.</w:t>
      </w:r>
    </w:p>
    <w:p>
      <w:pPr>
        <w:spacing w:after="240" w:line="360"/>
      </w:pPr>
      <w:r>
        <w:rPr>
          <w:sz w:val="24"/>
          <w:szCs w:val="24"/>
        </w:rPr>
        <w:t xml:space="preserve">Second, we derived GSM predictions for n-party Mermin inequalities, providing multiple independent falsification targets. The suppression factor η(n) = [(4-φ)/(2√2)]^(n/2) predicts increasingly large gaps between QM and GSM bounds as party number increases.</w:t>
      </w:r>
    </w:p>
    <w:p>
      <w:pPr>
        <w:spacing w:after="240" w:line="360"/>
      </w:pPr>
      <w:r>
        <w:rPr>
          <w:sz w:val="24"/>
          <w:szCs w:val="24"/>
        </w:rPr>
        <w:t xml:space="preserve">The experimental record to date is consistent with GSM. No loophole-free experiment has exceeded S = 2.5 in 2-party tests, and GSM provides a 6x better fit to loophole-free data than standard QM. Future experiments with higher detection efficiency and multi-party GHZ states will provide decisive tests.</w:t>
      </w:r>
    </w:p>
    <w:p>
      <w:pPr>
        <w:spacing w:after="240" w:line="360"/>
      </w:pPr>
      <w:r>
        <w:rPr>
          <w:b/>
          <w:bCs/>
          <w:sz w:val="24"/>
          <w:szCs w:val="24"/>
        </w:rPr>
        <w:t xml:space="preserve">The universe appears to enforce a geometric constraint on quantum correlations—a constraint invisible to experiments with loopholes but revealed when all classical escape routes are eliminated. Standard quantum mechanics describes the biased observations; the Geometric Standard Model describes the underlying reality.</w:t>
      </w:r>
    </w:p>
    <w:p>
      <w:r>
        <w:br w:type="page"/>
      </w:r>
    </w:p>
    <w:p>
      <w:pPr>
        <w:pStyle w:val="Heading1"/>
      </w:pPr>
      <w:r>
        <w:t xml:space="preserve">References</w:t>
      </w:r>
    </w:p>
    <w:p>
      <w:pPr>
        <w:spacing w:after="120" w:line="360"/>
      </w:pPr>
      <w:r>
        <w:rPr>
          <w:sz w:val="22"/>
          <w:szCs w:val="22"/>
        </w:rPr>
        <w:t xml:space="preserve">[1] Mermin, N.D. (1990). Extreme quantum entanglement in a superposition of macroscopically distinct states. Physical Review Letters, 65(15), 1838.</w:t>
      </w:r>
    </w:p>
    <w:p>
      <w:pPr>
        <w:spacing w:after="120" w:line="360"/>
      </w:pPr>
      <w:r>
        <w:rPr>
          <w:sz w:val="22"/>
          <w:szCs w:val="22"/>
        </w:rPr>
        <w:t xml:space="preserve">[2] Ardehali, M. (1992). Bell inequalities with a magnitude of violation that grows exponentially with the number of particles. Physical Review A, 46(9), 5375.</w:t>
      </w:r>
    </w:p>
    <w:p>
      <w:pPr>
        <w:spacing w:after="120" w:line="360"/>
      </w:pPr>
      <w:r>
        <w:rPr>
          <w:sz w:val="22"/>
          <w:szCs w:val="22"/>
        </w:rPr>
        <w:t xml:space="preserve">[3] Belinskii, A.V. &amp; Klyshko, D.N. (1993). Interference of light and Bell's theorem. Physics-Uspekhi, 36(8), 653.</w:t>
      </w:r>
    </w:p>
    <w:p>
      <w:pPr>
        <w:spacing w:after="120" w:line="360"/>
      </w:pPr>
      <w:r>
        <w:rPr>
          <w:sz w:val="22"/>
          <w:szCs w:val="22"/>
        </w:rPr>
        <w:t xml:space="preserve">[4] Hensen, B., et al. (2015). Loophole-free Bell inequality violation using electron spins separated by 1.3 kilometres. Nature, 526, 682-686.</w:t>
      </w:r>
    </w:p>
    <w:p>
      <w:pPr>
        <w:spacing w:after="120" w:line="360"/>
      </w:pPr>
      <w:r>
        <w:rPr>
          <w:sz w:val="22"/>
          <w:szCs w:val="22"/>
        </w:rPr>
        <w:t xml:space="preserve">[5] Hensen, B., et al. (2016). Loophole-free Bell test using electron spins in diamond: second experiment and additional analysis. Scientific Reports, 6, 30289.</w:t>
      </w:r>
    </w:p>
    <w:p>
      <w:pPr>
        <w:spacing w:after="120" w:line="360"/>
      </w:pPr>
      <w:r>
        <w:rPr>
          <w:sz w:val="22"/>
          <w:szCs w:val="22"/>
        </w:rPr>
        <w:t xml:space="preserve">[6] Storz, S., et al. (2023). Loophole-free Bell inequality violation with superconducting circuits. Nature, 617, 265-270.</w:t>
      </w:r>
    </w:p>
    <w:p>
      <w:pPr>
        <w:spacing w:after="120" w:line="360"/>
      </w:pPr>
      <w:r>
        <w:rPr>
          <w:sz w:val="22"/>
          <w:szCs w:val="22"/>
        </w:rPr>
        <w:t xml:space="preserve">[7] Giustina, M., et al. (2015). Significant-loophole-free test of Bell's theorem with entangled photons. Physical Review Letters, 115, 250401.</w:t>
      </w:r>
    </w:p>
    <w:p>
      <w:pPr>
        <w:spacing w:after="120" w:line="360"/>
      </w:pPr>
      <w:r>
        <w:rPr>
          <w:sz w:val="22"/>
          <w:szCs w:val="22"/>
        </w:rPr>
        <w:t xml:space="preserve">[8] Shalm, L.K., et al. (2015). Strong loophole-free test of local realism. Physical Review Letters, 115, 250402.</w:t>
      </w:r>
    </w:p>
    <w:p>
      <w:pPr>
        <w:spacing w:after="120" w:line="360"/>
      </w:pPr>
      <w:r>
        <w:rPr>
          <w:sz w:val="22"/>
          <w:szCs w:val="22"/>
        </w:rPr>
        <w:t xml:space="preserve">[9] Cirel'son, B.S. (1980). Quantum generalizations of Bell's inequality. Letters in Mathematical Physics, 4(2), 93-100.</w:t>
      </w:r>
    </w:p>
    <w:p>
      <w:pPr>
        <w:spacing w:after="120" w:line="360"/>
      </w:pPr>
      <w:r>
        <w:rPr>
          <w:sz w:val="22"/>
          <w:szCs w:val="22"/>
        </w:rPr>
        <w:t xml:space="preserve">[10] McGirl, T. (2026). The Geometric Standard Model. GitHub: https://github.com/grapheneaffiliate/e8-phi-constants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2026-01-21T21:26:03.966Z</dcterms:created>
  <dcterms:modified xsi:type="dcterms:W3CDTF">2026-01-21T21:26:03.967Z</dcterms:modified>
</cp:coreProperties>
</file>

<file path=docProps/custom.xml><?xml version="1.0" encoding="utf-8"?>
<Properties xmlns="http://schemas.openxmlformats.org/officeDocument/2006/custom-properties" xmlns:vt="http://schemas.openxmlformats.org/officeDocument/2006/docPropsVTypes"/>
</file>