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Arial" w:cs="Arial" w:eastAsia="Arial" w:hAnsi="Arial"/>
          <w:b/>
          <w:bCs/>
          <w:color w:val="6B7280"/>
          <w:sz w:val="18"/>
          <w:szCs w:val="18"/>
        </w:rPr>
        <w:t xml:space="preserve">CONFIDENTIAL — INTERNAL USE ONLY</w:t>
      </w:r>
    </w:p>
    <w:p>
      <w:pPr>
        <w:spacing w:after="80"/>
      </w:pPr>
      <w:r>
        <w:rPr>
          <w:rFonts w:ascii="Arial" w:cs="Arial" w:eastAsia="Arial" w:hAnsi="Arial"/>
          <w:b/>
          <w:bCs/>
          <w:color w:val="111827"/>
          <w:sz w:val="52"/>
          <w:szCs w:val="52"/>
        </w:rPr>
        <w:t xml:space="preserve">Support Platform</w:t>
      </w:r>
    </w:p>
    <w:p>
      <w:pPr>
        <w:spacing w:after="200"/>
      </w:pPr>
      <w:r>
        <w:rPr>
          <w:rFonts w:ascii="Arial" w:cs="Arial" w:eastAsia="Arial" w:hAnsi="Arial"/>
          <w:b/>
          <w:bCs/>
          <w:color w:val="0EA5E9"/>
          <w:sz w:val="52"/>
          <w:szCs w:val="52"/>
        </w:rPr>
        <w:t xml:space="preserve">Evaluation &amp; Recommendation</w:t>
      </w:r>
    </w:p>
    <w:p>
      <w:pPr>
        <w:pBdr>
          <w:bottom w:val="single" w:color="0EA5E9" w:sz="12" w:space="2"/>
        </w:pBdr>
        <w:spacing w:after="480"/>
      </w:pPr>
      <w:r>
        <w:rPr>
          <w:rFonts w:ascii="Arial" w:cs="Arial" w:eastAsia="Arial" w:hAnsi="Arial"/>
          <w:color w:val="6B7280"/>
          <w:sz w:val="26"/>
          <w:szCs w:val="26"/>
        </w:rPr>
        <w:t xml:space="preserve">Graphium Health · July 2026</w:t>
      </w:r>
    </w:p>
    <w:p>
      <w:pPr>
        <w:spacing w:after="80"/>
      </w:pPr>
      <w:r>
        <w:rPr>
          <w:rFonts w:ascii="Arial" w:cs="Arial" w:eastAsia="Arial" w:hAnsi="Arial"/>
          <w:sz w:val="22"/>
          <w:szCs w:val="22"/>
        </w:rPr>
        <w:t xml:space="preserve"/>
      </w:r>
    </w:p>
    <w:p>
      <w:pPr>
        <w:spacing w:after="100"/>
      </w:pPr>
      <w:r>
        <w:rPr>
          <w:rFonts w:ascii="Arial" w:cs="Arial" w:eastAsia="Arial" w:hAnsi="Arial"/>
          <w:b/>
          <w:bCs/>
          <w:sz w:val="22"/>
          <w:szCs w:val="22"/>
        </w:rPr>
        <w:t xml:space="preserve">Prepared by:  </w:t>
      </w:r>
      <w:r>
        <w:rPr>
          <w:rFonts w:ascii="Arial" w:cs="Arial" w:eastAsia="Arial" w:hAnsi="Arial"/>
          <w:sz w:val="22"/>
          <w:szCs w:val="22"/>
        </w:rPr>
        <w:t xml:space="preserve">Shauna Dura, Graphium Health</w:t>
      </w:r>
    </w:p>
    <w:p>
      <w:pPr>
        <w:spacing w:after="100"/>
      </w:pPr>
      <w:r>
        <w:rPr>
          <w:rFonts w:ascii="Arial" w:cs="Arial" w:eastAsia="Arial" w:hAnsi="Arial"/>
          <w:b/>
          <w:bCs/>
          <w:sz w:val="22"/>
          <w:szCs w:val="22"/>
        </w:rPr>
        <w:t xml:space="preserve">Date:  </w:t>
      </w:r>
      <w:r>
        <w:rPr>
          <w:rFonts w:ascii="Arial" w:cs="Arial" w:eastAsia="Arial" w:hAnsi="Arial"/>
          <w:sz w:val="22"/>
          <w:szCs w:val="22"/>
        </w:rPr>
        <w:t xml:space="preserve">July 2026</w:t>
      </w:r>
    </w:p>
    <w:p>
      <w:pPr>
        <w:spacing w:after="100"/>
      </w:pPr>
      <w:r>
        <w:rPr>
          <w:rFonts w:ascii="Arial" w:cs="Arial" w:eastAsia="Arial" w:hAnsi="Arial"/>
          <w:b/>
          <w:bCs/>
          <w:sz w:val="22"/>
          <w:szCs w:val="22"/>
        </w:rPr>
        <w:t xml:space="preserve">Version:  </w:t>
      </w:r>
      <w:r>
        <w:rPr>
          <w:rFonts w:ascii="Arial" w:cs="Arial" w:eastAsia="Arial" w:hAnsi="Arial"/>
          <w:sz w:val="22"/>
          <w:szCs w:val="22"/>
        </w:rPr>
        <w:t xml:space="preserve">1.0 — In Progress, Pending Final Vendor Confirmations</w:t>
      </w:r>
    </w:p>
    <w:p>
      <w:pPr>
        <w:spacing w:after="100"/>
      </w:pPr>
      <w:r>
        <w:rPr>
          <w:rFonts w:ascii="Arial" w:cs="Arial" w:eastAsia="Arial" w:hAnsi="Arial"/>
          <w:b/>
          <w:bCs/>
          <w:sz w:val="22"/>
          <w:szCs w:val="22"/>
        </w:rPr>
        <w:t xml:space="preserve">Platforms Evaluated:  </w:t>
      </w:r>
      <w:r>
        <w:rPr>
          <w:rFonts w:ascii="Arial" w:cs="Arial" w:eastAsia="Arial" w:hAnsi="Arial"/>
          <w:sz w:val="22"/>
          <w:szCs w:val="22"/>
        </w:rPr>
        <w:t xml:space="preserve">HubSpot (current), Plain, DevRev, Zoho Desk, Chatwoot, Intercom, Linear Asks, Freshdesk</w:t>
      </w:r>
    </w:p>
    <w:p>
      <w:r>
        <w:br w:type="page"/>
      </w:r>
    </w:p>
    <w:p>
      <w:pPr>
        <w:pStyle w:val="Heading1"/>
        <w:pBdr>
          <w:bottom w:val="single" w:color="0EA5E9" w:sz="8" w:space="2"/>
        </w:pBdr>
        <w:spacing w:after="160" w:before="360"/>
      </w:pPr>
      <w:r>
        <w:rPr>
          <w:rFonts w:ascii="Arial" w:cs="Arial" w:eastAsia="Arial" w:hAnsi="Arial"/>
          <w:b/>
          <w:bCs/>
          <w:sz w:val="32"/>
          <w:szCs w:val="32"/>
        </w:rPr>
        <w:t xml:space="preserve">Executive Summary</w:t>
      </w:r>
    </w:p>
    <w:p>
      <w:pPr>
        <w:spacing w:after="140" w:line="280" w:lineRule="auto"/>
      </w:pPr>
      <w:r>
        <w:rPr>
          <w:rFonts w:ascii="Arial" w:cs="Arial" w:eastAsia="Arial" w:hAnsi="Arial"/>
          <w:sz w:val="22"/>
          <w:szCs w:val="22"/>
        </w:rPr>
        <w:t xml:space="preserve">Graphium Health is evaluating customer support platforms to replace HubSpot Service Hub as the primary support management tool for Graphium AI. Seven platforms were assessed across compliance, AI capabilities, pricing, integration, and feature criteria. This document summarizes findings and provides a formal recommendation for internal review and approval.</w:t>
      </w:r>
    </w:p>
    <w:p>
      <w:pPr>
        <w:spacing w:after="80"/>
      </w:pPr>
      <w:r>
        <w:rPr>
          <w:rFonts w:ascii="Arial" w:cs="Arial" w:eastAsia="Arial" w:hAnsi="Arial"/>
          <w:sz w:val="22"/>
          <w:szCs w:val="22"/>
        </w:rPr>
        <w:t xml:space="preserve"/>
      </w:r>
    </w:p>
    <w:p>
      <w:pPr>
        <w:spacing w:after="140" w:line="280" w:lineRule="auto"/>
      </w:pPr>
      <w:r>
        <w:rPr>
          <w:rFonts w:ascii="Arial" w:cs="Arial" w:eastAsia="Arial" w:hAnsi="Arial"/>
          <w:sz w:val="22"/>
          <w:szCs w:val="22"/>
        </w:rPr>
        <w:t xml:space="preserve">The evaluation was driven by four requirements in order of priority:</w:t>
      </w:r>
    </w:p>
    <w:p>
      <w:pPr>
        <w:pStyle w:val="ListParagraph"/>
        <w:numPr>
          <w:ilvl w:val="0"/>
          <w:numId w:val="2"/>
        </w:numPr>
        <w:spacing w:after="80"/>
      </w:pPr>
      <w:r>
        <w:rPr>
          <w:rFonts w:ascii="Arial" w:cs="Arial" w:eastAsia="Arial" w:hAnsi="Arial"/>
          <w:sz w:val="22"/>
          <w:szCs w:val="22"/>
        </w:rPr>
        <w:t xml:space="preserve">HIPAA compliance with a signed BAA, covering all AI features that process customer data</w:t>
      </w:r>
    </w:p>
    <w:p>
      <w:pPr>
        <w:pStyle w:val="ListParagraph"/>
        <w:numPr>
          <w:ilvl w:val="0"/>
          <w:numId w:val="2"/>
        </w:numPr>
        <w:spacing w:after="80"/>
      </w:pPr>
      <w:r>
        <w:rPr>
          <w:rFonts w:ascii="Arial" w:cs="Arial" w:eastAsia="Arial" w:hAnsi="Arial"/>
          <w:sz w:val="22"/>
          <w:szCs w:val="22"/>
        </w:rPr>
        <w:t xml:space="preserve">API-first integration with the existing Fastify backend and Mintlify help infrastructure</w:t>
      </w:r>
    </w:p>
    <w:p>
      <w:pPr>
        <w:pStyle w:val="ListParagraph"/>
        <w:numPr>
          <w:ilvl w:val="0"/>
          <w:numId w:val="2"/>
        </w:numPr>
        <w:spacing w:after="80"/>
      </w:pPr>
      <w:r>
        <w:rPr>
          <w:rFonts w:ascii="Arial" w:cs="Arial" w:eastAsia="Arial" w:hAnsi="Arial"/>
          <w:sz w:val="22"/>
          <w:szCs w:val="22"/>
        </w:rPr>
        <w:t xml:space="preserve">AI-assisted ticket triage and resolution to reduce support agent workload</w:t>
      </w:r>
    </w:p>
    <w:p>
      <w:pPr>
        <w:pStyle w:val="ListParagraph"/>
        <w:numPr>
          <w:ilvl w:val="0"/>
          <w:numId w:val="2"/>
        </w:numPr>
        <w:spacing w:after="80"/>
      </w:pPr>
      <w:r>
        <w:rPr>
          <w:rFonts w:ascii="Arial" w:cs="Arial" w:eastAsia="Arial" w:hAnsi="Arial"/>
          <w:sz w:val="22"/>
          <w:szCs w:val="22"/>
        </w:rPr>
        <w:t xml:space="preserve">Native or low-effort integration with Linear, the existing engineering issue tracker</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9360"/>
            <w:gridSpan w:val="2"/>
            <w:tcBorders>
              <w:top w:val="single" w:color="333333" w:sz="2"/>
              <w:left w:val="single" w:color="333333" w:sz="2"/>
              <w:bottom w:val="single" w:color="333333" w:sz="2"/>
              <w:right w:val="single" w:color="333333" w:sz="2"/>
            </w:tcBorders>
            <w:shd w:fill="1E3A5F" w:val="clear"/>
            <w:tcMar>
              <w:top w:type="dxa" w:w="90"/>
              <w:left w:type="dxa" w:w="110"/>
              <w:bottom w:type="dxa" w:w="90"/>
              <w:right w:type="dxa" w:w="110"/>
            </w:tcMar>
          </w:tcPr>
          <w:p>
            <w:pPr>
              <w:spacing w:after="0"/>
            </w:pPr>
            <w:r>
              <w:rPr>
                <w:rFonts w:ascii="Arial" w:cs="Arial" w:eastAsia="Arial" w:hAnsi="Arial"/>
                <w:b/>
                <w:bCs/>
                <w:color w:val="FFFFFF"/>
                <w:sz w:val="24"/>
                <w:szCs w:val="24"/>
              </w:rPr>
              <w:t xml:space="preserve">Evaluation Summary</w:t>
            </w:r>
          </w:p>
        </w:tc>
      </w:tr>
      <w:tr>
        <w:tc>
          <w:tcPr>
            <w:tcW w:type="dxa" w:w="2640"/>
            <w:tcBorders>
              <w:top w:val="single" w:color="DDDDDD" w:sz="2"/>
              <w:left w:val="single" w:color="DDDDDD" w:sz="2"/>
              <w:bottom w:val="single" w:color="DDDDDD" w:sz="2"/>
              <w:right w:val="single" w:color="DDDDDD" w:sz="2"/>
            </w:tcBorders>
            <w:shd w:fill="F1F5F9" w:val="clear"/>
            <w:tcMar>
              <w:top w:type="dxa" w:w="90"/>
              <w:left w:type="dxa" w:w="110"/>
              <w:bottom w:type="dxa" w:w="90"/>
              <w:right w:type="dxa" w:w="110"/>
            </w:tcMar>
          </w:tcPr>
          <w:p>
            <w:pPr>
              <w:spacing w:after="0"/>
            </w:pPr>
            <w:r>
              <w:rPr>
                <w:rFonts w:ascii="Arial" w:cs="Arial" w:eastAsia="Arial" w:hAnsi="Arial"/>
                <w:b/>
                <w:bCs/>
                <w:sz w:val="22"/>
                <w:szCs w:val="22"/>
              </w:rPr>
              <w:t xml:space="preserve">Platforms evaluated</w:t>
            </w:r>
          </w:p>
        </w:tc>
        <w:tc>
          <w:tcPr>
            <w:tcW w:type="dxa" w:w="6720"/>
            <w:tcBorders>
              <w:top w:val="single" w:color="DDDDDD" w:sz="2"/>
              <w:left w:val="single" w:color="DDDDDD" w:sz="2"/>
              <w:bottom w:val="single" w:color="DDDDDD" w:sz="2"/>
              <w:right w:val="single" w:color="DDDDDD" w:sz="2"/>
            </w:tcBorders>
            <w:shd w:fill="FFFFFF" w:val="clear"/>
            <w:tcMar>
              <w:top w:type="dxa" w:w="90"/>
              <w:left w:type="dxa" w:w="110"/>
              <w:bottom w:type="dxa" w:w="90"/>
              <w:right w:type="dxa" w:w="110"/>
            </w:tcMar>
          </w:tcPr>
          <w:p>
            <w:pPr>
              <w:spacing w:after="0"/>
            </w:pPr>
            <w:r>
              <w:rPr>
                <w:rFonts w:ascii="Arial" w:cs="Arial" w:eastAsia="Arial" w:hAnsi="Arial"/>
                <w:sz w:val="22"/>
                <w:szCs w:val="22"/>
              </w:rPr>
              <w:t xml:space="preserve">HubSpot (current), Plain, DevRev, Zoho Desk, Chatwoot, Intercom, Linear Asks, Freshdesk</w:t>
            </w:r>
          </w:p>
        </w:tc>
      </w:tr>
      <w:tr>
        <w:tc>
          <w:tcPr>
            <w:tcW w:type="dxa" w:w="2640"/>
            <w:tcBorders>
              <w:top w:val="single" w:color="DDDDDD" w:sz="2"/>
              <w:left w:val="single" w:color="DDDDDD" w:sz="2"/>
              <w:bottom w:val="single" w:color="DDDDDD" w:sz="2"/>
              <w:right w:val="single" w:color="DDDDDD" w:sz="2"/>
            </w:tcBorders>
            <w:shd w:fill="F1F5F9" w:val="clear"/>
            <w:tcMar>
              <w:top w:type="dxa" w:w="90"/>
              <w:left w:type="dxa" w:w="110"/>
              <w:bottom w:type="dxa" w:w="90"/>
              <w:right w:type="dxa" w:w="110"/>
            </w:tcMar>
          </w:tcPr>
          <w:p>
            <w:pPr>
              <w:spacing w:after="0"/>
            </w:pPr>
            <w:r>
              <w:rPr>
                <w:rFonts w:ascii="Arial" w:cs="Arial" w:eastAsia="Arial" w:hAnsi="Arial"/>
                <w:b/>
                <w:bCs/>
                <w:sz w:val="22"/>
                <w:szCs w:val="22"/>
              </w:rPr>
              <w:t xml:space="preserve">Eliminated</w:t>
            </w:r>
          </w:p>
        </w:tc>
        <w:tc>
          <w:tcPr>
            <w:tcW w:type="dxa" w:w="6720"/>
            <w:tcBorders>
              <w:top w:val="single" w:color="DDDDDD" w:sz="2"/>
              <w:left w:val="single" w:color="DDDDDD" w:sz="2"/>
              <w:bottom w:val="single" w:color="DDDDDD" w:sz="2"/>
              <w:right w:val="single" w:color="DDDDDD" w:sz="2"/>
            </w:tcBorders>
            <w:shd w:fill="FEE2E2" w:val="clear"/>
            <w:tcMar>
              <w:top w:type="dxa" w:w="90"/>
              <w:left w:type="dxa" w:w="110"/>
              <w:bottom w:type="dxa" w:w="90"/>
              <w:right w:type="dxa" w:w="110"/>
            </w:tcMar>
          </w:tcPr>
          <w:p>
            <w:pPr>
              <w:spacing w:after="0"/>
            </w:pPr>
            <w:r>
              <w:rPr>
                <w:rFonts w:ascii="Arial" w:cs="Arial" w:eastAsia="Arial" w:hAnsi="Arial"/>
                <w:sz w:val="22"/>
                <w:szCs w:val="22"/>
              </w:rPr>
              <w:t xml:space="preserve">Plain — no HIPAA BAA available at any tier</w:t>
            </w:r>
          </w:p>
        </w:tc>
      </w:tr>
      <w:tr>
        <w:tc>
          <w:tcPr>
            <w:tcW w:type="dxa" w:w="2640"/>
            <w:tcBorders>
              <w:top w:val="single" w:color="DDDDDD" w:sz="2"/>
              <w:left w:val="single" w:color="DDDDDD" w:sz="2"/>
              <w:bottom w:val="single" w:color="DDDDDD" w:sz="2"/>
              <w:right w:val="single" w:color="DDDDDD" w:sz="2"/>
            </w:tcBorders>
            <w:shd w:fill="F1F5F9" w:val="clear"/>
            <w:tcMar>
              <w:top w:type="dxa" w:w="90"/>
              <w:left w:type="dxa" w:w="110"/>
              <w:bottom w:type="dxa" w:w="90"/>
              <w:right w:type="dxa" w:w="110"/>
            </w:tcMar>
          </w:tcPr>
          <w:p>
            <w:pPr>
              <w:spacing w:after="0"/>
            </w:pPr>
            <w:r>
              <w:rPr>
                <w:rFonts w:ascii="Arial" w:cs="Arial" w:eastAsia="Arial" w:hAnsi="Arial"/>
                <w:b/>
                <w:bCs/>
                <w:sz w:val="22"/>
                <w:szCs w:val="22"/>
              </w:rPr>
              <w:t xml:space="preserve">Primary recommendation</w:t>
            </w:r>
          </w:p>
        </w:tc>
        <w:tc>
          <w:tcPr>
            <w:tcW w:type="dxa" w:w="6720"/>
            <w:tcBorders>
              <w:top w:val="single" w:color="DDDDDD" w:sz="2"/>
              <w:left w:val="single" w:color="DDDDDD" w:sz="2"/>
              <w:bottom w:val="single" w:color="DDDDDD" w:sz="2"/>
              <w:right w:val="single" w:color="DDDDDD" w:sz="2"/>
            </w:tcBorders>
            <w:shd w:fill="BBFCD4" w:val="clear"/>
            <w:tcMar>
              <w:top w:type="dxa" w:w="90"/>
              <w:left w:type="dxa" w:w="110"/>
              <w:bottom w:type="dxa" w:w="90"/>
              <w:right w:type="dxa" w:w="110"/>
            </w:tcMar>
          </w:tcPr>
          <w:p>
            <w:pPr>
              <w:spacing w:after="0"/>
            </w:pPr>
            <w:r>
              <w:rPr>
                <w:rFonts w:ascii="Arial" w:cs="Arial" w:eastAsia="Arial" w:hAnsi="Arial"/>
                <w:sz w:val="22"/>
                <w:szCs w:val="22"/>
              </w:rPr>
              <w:t xml:space="preserve">DevRev — confirmed HIPAA BAA, $19.99/seat, autonomous CX Agent, 45-day trial</w:t>
            </w:r>
          </w:p>
        </w:tc>
      </w:tr>
      <w:tr>
        <w:tc>
          <w:tcPr>
            <w:tcW w:type="dxa" w:w="2640"/>
            <w:tcBorders>
              <w:top w:val="single" w:color="DDDDDD" w:sz="2"/>
              <w:left w:val="single" w:color="DDDDDD" w:sz="2"/>
              <w:bottom w:val="single" w:color="DDDDDD" w:sz="2"/>
              <w:right w:val="single" w:color="DDDDDD" w:sz="2"/>
            </w:tcBorders>
            <w:shd w:fill="F1F5F9" w:val="clear"/>
            <w:tcMar>
              <w:top w:type="dxa" w:w="90"/>
              <w:left w:type="dxa" w:w="110"/>
              <w:bottom w:type="dxa" w:w="90"/>
              <w:right w:type="dxa" w:w="110"/>
            </w:tcMar>
          </w:tcPr>
          <w:p>
            <w:pPr>
              <w:spacing w:after="0"/>
            </w:pPr>
            <w:r>
              <w:rPr>
                <w:rFonts w:ascii="Arial" w:cs="Arial" w:eastAsia="Arial" w:hAnsi="Arial"/>
                <w:b/>
                <w:bCs/>
                <w:sz w:val="22"/>
                <w:szCs w:val="22"/>
              </w:rPr>
              <w:t xml:space="preserve">Secondary recommendation</w:t>
            </w:r>
          </w:p>
        </w:tc>
        <w:tc>
          <w:tcPr>
            <w:tcW w:type="dxa" w:w="6720"/>
            <w:tcBorders>
              <w:top w:val="single" w:color="DDDDDD" w:sz="2"/>
              <w:left w:val="single" w:color="DDDDDD" w:sz="2"/>
              <w:bottom w:val="single" w:color="DDDDDD" w:sz="2"/>
              <w:right w:val="single" w:color="DDDDDD" w:sz="2"/>
            </w:tcBorders>
            <w:shd w:fill="ECFDF5" w:val="clear"/>
            <w:tcMar>
              <w:top w:type="dxa" w:w="90"/>
              <w:left w:type="dxa" w:w="110"/>
              <w:bottom w:type="dxa" w:w="90"/>
              <w:right w:type="dxa" w:w="110"/>
            </w:tcMar>
          </w:tcPr>
          <w:p>
            <w:pPr>
              <w:spacing w:after="0"/>
            </w:pPr>
            <w:r>
              <w:rPr>
                <w:rFonts w:ascii="Arial" w:cs="Arial" w:eastAsia="Arial" w:hAnsi="Arial"/>
                <w:sz w:val="22"/>
                <w:szCs w:val="22"/>
              </w:rPr>
              <w:t xml:space="preserve">Zoho Desk or Freshdesk — both have confirmed HIPAA BAA and Customer Portal; see Platform Evaluations</w:t>
            </w:r>
          </w:p>
        </w:tc>
      </w:tr>
      <w:tr>
        <w:tc>
          <w:tcPr>
            <w:tcW w:type="dxa" w:w="2640"/>
            <w:tcBorders>
              <w:top w:val="single" w:color="DDDDDD" w:sz="2"/>
              <w:left w:val="single" w:color="DDDDDD" w:sz="2"/>
              <w:bottom w:val="single" w:color="DDDDDD" w:sz="2"/>
              <w:right w:val="single" w:color="DDDDDD" w:sz="2"/>
            </w:tcBorders>
            <w:shd w:fill="F1F5F9" w:val="clear"/>
            <w:tcMar>
              <w:top w:type="dxa" w:w="90"/>
              <w:left w:type="dxa" w:w="110"/>
              <w:bottom w:type="dxa" w:w="90"/>
              <w:right w:type="dxa" w:w="110"/>
            </w:tcMar>
          </w:tcPr>
          <w:p>
            <w:pPr>
              <w:spacing w:after="0"/>
            </w:pPr>
            <w:r>
              <w:rPr>
                <w:rFonts w:ascii="Arial" w:cs="Arial" w:eastAsia="Arial" w:hAnsi="Arial"/>
                <w:b/>
                <w:bCs/>
                <w:sz w:val="22"/>
                <w:szCs w:val="22"/>
              </w:rPr>
              <w:t xml:space="preserve">Open items (3)</w:t>
            </w:r>
          </w:p>
        </w:tc>
        <w:tc>
          <w:tcPr>
            <w:tcW w:type="dxa" w:w="6720"/>
            <w:tcBorders>
              <w:top w:val="single" w:color="DDDDDD" w:sz="2"/>
              <w:left w:val="single" w:color="DDDDDD" w:sz="2"/>
              <w:bottom w:val="single" w:color="DDDDDD" w:sz="2"/>
              <w:right w:val="single" w:color="DDDDDD" w:sz="2"/>
            </w:tcBorders>
            <w:shd w:fill="FEF3C7" w:val="clear"/>
            <w:tcMar>
              <w:top w:type="dxa" w:w="90"/>
              <w:left w:type="dxa" w:w="110"/>
              <w:bottom w:type="dxa" w:w="90"/>
              <w:right w:type="dxa" w:w="110"/>
            </w:tcMar>
          </w:tcPr>
          <w:p>
            <w:pPr>
              <w:spacing w:after="0"/>
            </w:pPr>
            <w:r>
              <w:rPr>
                <w:rFonts w:ascii="Arial" w:cs="Arial" w:eastAsia="Arial" w:hAnsi="Arial"/>
                <w:sz w:val="22"/>
                <w:szCs w:val="22"/>
              </w:rPr>
              <w:t xml:space="preserve">DevRev subprocessor list · Zoho follow-up answers · Freshdesk BAA tier + Freddy AI subprocessors</w:t>
            </w:r>
          </w:p>
        </w:tc>
      </w:tr>
    </w:tbl>
    <w:p>
      <w:r>
        <w:br w:type="page"/>
      </w:r>
    </w:p>
    <w:p>
      <w:pPr>
        <w:pStyle w:val="Heading1"/>
        <w:pBdr>
          <w:bottom w:val="single" w:color="0EA5E9" w:sz="8" w:space="2"/>
        </w:pBdr>
        <w:spacing w:after="160" w:before="360"/>
      </w:pPr>
      <w:r>
        <w:rPr>
          <w:rFonts w:ascii="Arial" w:cs="Arial" w:eastAsia="Arial" w:hAnsi="Arial"/>
          <w:b/>
          <w:bCs/>
          <w:sz w:val="32"/>
          <w:szCs w:val="32"/>
        </w:rPr>
        <w:t xml:space="preserve">Background &amp; Context</w:t>
      </w:r>
    </w:p>
    <w:p>
      <w:pPr>
        <w:pStyle w:val="Heading2"/>
        <w:spacing w:after="120" w:before="240"/>
      </w:pPr>
      <w:r>
        <w:rPr>
          <w:rFonts w:ascii="Arial" w:cs="Arial" w:eastAsia="Arial" w:hAnsi="Arial"/>
          <w:b/>
          <w:bCs/>
          <w:sz w:val="26"/>
          <w:szCs w:val="26"/>
        </w:rPr>
        <w:t xml:space="preserve">Graphium AI Platform</w:t>
      </w:r>
    </w:p>
    <w:p>
      <w:pPr>
        <w:spacing w:after="140" w:line="280" w:lineRule="auto"/>
      </w:pPr>
      <w:r>
        <w:rPr>
          <w:rFonts w:ascii="Arial" w:cs="Arial" w:eastAsia="Arial" w:hAnsi="Arial"/>
          <w:sz w:val="22"/>
          <w:szCs w:val="22"/>
        </w:rPr>
        <w:t xml:space="preserve">Graphium AI is a healthcare data workspace platform that enables clinical and operational teams to interact with EMR data, run AI assistants, and automate workflows across Slack, Microsoft Teams, Google Sheets, and other tools. Core capabilities include Vaults, Tables, Records, AI Assistants, Connections (EMRs, Google Sheets, SFTP), and Playbooks.</w:t>
      </w:r>
    </w:p>
    <w:p>
      <w:pPr>
        <w:spacing w:after="80"/>
      </w:pPr>
      <w:r>
        <w:rPr>
          <w:rFonts w:ascii="Arial" w:cs="Arial" w:eastAsia="Arial" w:hAnsi="Arial"/>
          <w:sz w:val="22"/>
          <w:szCs w:val="22"/>
        </w:rPr>
        <w:t xml:space="preserve"/>
      </w:r>
    </w:p>
    <w:p>
      <w:pPr>
        <w:pStyle w:val="Heading2"/>
        <w:spacing w:after="120" w:before="240"/>
      </w:pPr>
      <w:r>
        <w:rPr>
          <w:rFonts w:ascii="Arial" w:cs="Arial" w:eastAsia="Arial" w:hAnsi="Arial"/>
          <w:b/>
          <w:bCs/>
          <w:sz w:val="26"/>
          <w:szCs w:val="26"/>
        </w:rPr>
        <w:t xml:space="preserve">Existing Support Infrastructure</w:t>
      </w:r>
    </w:p>
    <w:p>
      <w:pPr>
        <w:spacing w:after="140" w:line="280" w:lineRule="auto"/>
      </w:pPr>
      <w:r>
        <w:rPr>
          <w:rFonts w:ascii="Arial" w:cs="Arial" w:eastAsia="Arial" w:hAnsi="Arial"/>
          <w:sz w:val="22"/>
          <w:szCs w:val="22"/>
        </w:rPr>
        <w:t xml:space="preserve">Graphium currently manages customer support through HubSpot Service Hub. Two embedded support channels are already built into the product:</w:t>
      </w:r>
    </w:p>
    <w:p>
      <w:pPr>
        <w:spacing w:after="8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Dashboard Help Panel (Primary): An authenticated Mintlify AI assistant embedded in the Graphium AI dashboard. Full customer context is available on escalation — customerId, workspaceId, accountTier, current dashboard route, and full conversation transcript. Powered by an existing Fastify backend (POST /help/message) with rate limiting, Redis-cached health checks, and dual-layer PII/PHI detection via detectSensitiveContent().</w:t>
      </w:r>
    </w:p>
    <w:p>
      <w:pPr>
        <w:pStyle w:val="ListParagraph"/>
        <w:numPr>
          <w:ilvl w:val="0"/>
          <w:numId w:val="2"/>
        </w:numPr>
        <w:spacing w:after="80"/>
      </w:pPr>
      <w:r>
        <w:rPr>
          <w:rFonts w:ascii="Arial" w:cs="Arial" w:eastAsia="Arial" w:hAnsi="Arial"/>
          <w:sz w:val="22"/>
          <w:szCs w:val="22"/>
        </w:rPr>
        <w:t xml:space="preserve">Mintlify Docs Site (Secondary): A public help site at graphium.mintlify.site with an AI assistant. Customers browse documentation before escalating. Context is limited to what they type. Inline HTTP requests are not possible from MDX (sandboxed), so escalation falls back to mailto: routing.</w:t>
      </w:r>
    </w:p>
    <w:p>
      <w:pPr>
        <w:spacing w:after="80"/>
      </w:pPr>
      <w:r>
        <w:rPr>
          <w:rFonts w:ascii="Arial" w:cs="Arial" w:eastAsia="Arial" w:hAnsi="Arial"/>
          <w:sz w:val="22"/>
          <w:szCs w:val="22"/>
        </w:rPr>
        <w:t xml:space="preserve"/>
      </w:r>
    </w:p>
    <w:p>
      <w:pPr>
        <w:spacing w:after="140" w:line="280" w:lineRule="auto"/>
      </w:pPr>
      <w:r>
        <w:rPr>
          <w:rFonts w:ascii="Arial" w:cs="Arial" w:eastAsia="Arial" w:hAnsi="Arial"/>
          <w:sz w:val="22"/>
          <w:szCs w:val="22"/>
        </w:rPr>
        <w:t xml:space="preserve">The goal of this evaluation is to select a third-party support platform that integrates with both channels via API, replacing HubSpot while improving AI-assisted deflection, ticket management, and engineering escalation.</w:t>
      </w:r>
    </w:p>
    <w:p>
      <w:pPr>
        <w:spacing w:after="80"/>
      </w:pPr>
      <w:r>
        <w:rPr>
          <w:rFonts w:ascii="Arial" w:cs="Arial" w:eastAsia="Arial" w:hAnsi="Arial"/>
          <w:sz w:val="22"/>
          <w:szCs w:val="22"/>
        </w:rPr>
        <w:t xml:space="preserve"/>
      </w:r>
    </w:p>
    <w:p>
      <w:pPr>
        <w:pStyle w:val="Heading2"/>
        <w:spacing w:after="120" w:before="240"/>
      </w:pPr>
      <w:r>
        <w:rPr>
          <w:rFonts w:ascii="Arial" w:cs="Arial" w:eastAsia="Arial" w:hAnsi="Arial"/>
          <w:b/>
          <w:bCs/>
          <w:sz w:val="26"/>
          <w:szCs w:val="26"/>
        </w:rPr>
        <w:t xml:space="preserve">Key Constraints</w:t>
      </w:r>
    </w:p>
    <w:p>
      <w:pPr>
        <w:pStyle w:val="ListParagraph"/>
        <w:numPr>
          <w:ilvl w:val="0"/>
          <w:numId w:val="2"/>
        </w:numPr>
        <w:spacing w:after="80"/>
      </w:pPr>
      <w:r>
        <w:rPr>
          <w:rFonts w:ascii="Arial" w:cs="Arial" w:eastAsia="Arial" w:hAnsi="Arial"/>
          <w:sz w:val="22"/>
          <w:szCs w:val="22"/>
        </w:rPr>
        <w:t xml:space="preserve">HIPAA / BAA: A signed BAA is a hard requirement. Any platform unable to provide one is immediately disqualified, regardless of other capabilities.</w:t>
      </w:r>
    </w:p>
    <w:p>
      <w:pPr>
        <w:pStyle w:val="ListParagraph"/>
        <w:numPr>
          <w:ilvl w:val="0"/>
          <w:numId w:val="2"/>
        </w:numPr>
        <w:spacing w:after="80"/>
      </w:pPr>
      <w:r>
        <w:rPr>
          <w:rFonts w:ascii="Arial" w:cs="Arial" w:eastAsia="Arial" w:hAnsi="Arial"/>
          <w:sz w:val="22"/>
          <w:szCs w:val="22"/>
        </w:rPr>
        <w:t xml:space="preserve">PII/PHI Protection: All ticket submissions must pass through detectSensitiveContent() on the Fastify backend before reaching any third-party platform.</w:t>
      </w:r>
    </w:p>
    <w:p>
      <w:pPr>
        <w:pStyle w:val="ListParagraph"/>
        <w:numPr>
          <w:ilvl w:val="0"/>
          <w:numId w:val="2"/>
        </w:numPr>
        <w:spacing w:after="80"/>
      </w:pPr>
      <w:r>
        <w:rPr>
          <w:rFonts w:ascii="Arial" w:cs="Arial" w:eastAsia="Arial" w:hAnsi="Arial"/>
          <w:sz w:val="22"/>
          <w:szCs w:val="22"/>
        </w:rPr>
        <w:t xml:space="preserve">Linear: The engineering team uses Linear for issue tracking. Bug escalations must link to Linear issues with minimal additional tooling.</w:t>
      </w:r>
    </w:p>
    <w:p>
      <w:r>
        <w:br w:type="page"/>
      </w:r>
    </w:p>
    <w:p>
      <w:pPr>
        <w:pStyle w:val="Heading1"/>
        <w:pBdr>
          <w:bottom w:val="single" w:color="0EA5E9" w:sz="8" w:space="2"/>
        </w:pBdr>
        <w:spacing w:after="160" w:before="360"/>
      </w:pPr>
      <w:r>
        <w:rPr>
          <w:rFonts w:ascii="Arial" w:cs="Arial" w:eastAsia="Arial" w:hAnsi="Arial"/>
          <w:b/>
          <w:bCs/>
          <w:sz w:val="32"/>
          <w:szCs w:val="32"/>
        </w:rPr>
        <w:t xml:space="preserve">Evaluation Criteria</w:t>
      </w:r>
    </w:p>
    <w:p>
      <w:pPr>
        <w:spacing w:after="140" w:line="280" w:lineRule="auto"/>
      </w:pPr>
      <w:r>
        <w:rPr>
          <w:rFonts w:ascii="Arial" w:cs="Arial" w:eastAsia="Arial" w:hAnsi="Arial"/>
          <w:sz w:val="22"/>
          <w:szCs w:val="22"/>
        </w:rPr>
        <w:t xml:space="preserve">Platforms were assessed across the following criteria, in order of weight:</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c>
          <w:tcPr>
            <w:tcW w:type="dxa" w:w="480"/>
            <w:tcBorders>
              <w:top w:val="single" w:color="333333" w:sz="2"/>
              <w:left w:val="single" w:color="333333" w:sz="2"/>
              <w:bottom w:val="single" w:color="333333" w:sz="2"/>
              <w:right w:val="single" w:color="333333" w:sz="2"/>
            </w:tcBorders>
            <w:shd w:fill="1E3A5F" w:val="clear"/>
            <w:tcMar>
              <w:top w:type="dxa" w:w="90"/>
              <w:left w:type="dxa" w:w="90"/>
              <w:bottom w:type="dxa" w:w="90"/>
              <w:right w:type="dxa" w:w="90"/>
            </w:tcMar>
            <w:vAlign w:val="center"/>
          </w:tcPr>
          <w:p>
            <w:pPr>
              <w:spacing w:after="0"/>
              <w:jc w:val="center"/>
            </w:pPr>
            <w:r>
              <w:rPr>
                <w:rFonts w:ascii="Arial" w:cs="Arial" w:eastAsia="Arial" w:hAnsi="Arial"/>
                <w:b/>
                <w:bCs/>
                <w:color w:val="FFFFFF"/>
                <w:sz w:val="18"/>
                <w:szCs w:val="18"/>
              </w:rPr>
              <w:t xml:space="preserve">#</w:t>
            </w:r>
          </w:p>
        </w:tc>
        <w:tc>
          <w:tcPr>
            <w:tcW w:type="dxa" w:w="2400"/>
            <w:tcBorders>
              <w:top w:val="single" w:color="333333" w:sz="2"/>
              <w:left w:val="single" w:color="333333" w:sz="2"/>
              <w:bottom w:val="single" w:color="333333" w:sz="2"/>
              <w:right w:val="single" w:color="333333" w:sz="2"/>
            </w:tcBorders>
            <w:shd w:fill="1E3A5F" w:val="clear"/>
            <w:tcMar>
              <w:top w:type="dxa" w:w="90"/>
              <w:left w:type="dxa" w:w="90"/>
              <w:bottom w:type="dxa" w:w="90"/>
              <w:right w:type="dxa" w:w="90"/>
            </w:tcMar>
            <w:vAlign w:val="center"/>
          </w:tcPr>
          <w:p>
            <w:pPr>
              <w:spacing w:after="0"/>
              <w:jc w:val="center"/>
            </w:pPr>
            <w:r>
              <w:rPr>
                <w:rFonts w:ascii="Arial" w:cs="Arial" w:eastAsia="Arial" w:hAnsi="Arial"/>
                <w:b/>
                <w:bCs/>
                <w:color w:val="FFFFFF"/>
                <w:sz w:val="18"/>
                <w:szCs w:val="18"/>
              </w:rPr>
              <w:t xml:space="preserve">Criterion</w:t>
            </w:r>
          </w:p>
        </w:tc>
        <w:tc>
          <w:tcPr>
            <w:tcW w:type="dxa" w:w="6480"/>
            <w:tcBorders>
              <w:top w:val="single" w:color="333333" w:sz="2"/>
              <w:left w:val="single" w:color="333333" w:sz="2"/>
              <w:bottom w:val="single" w:color="333333" w:sz="2"/>
              <w:right w:val="single" w:color="333333" w:sz="2"/>
            </w:tcBorders>
            <w:shd w:fill="1E3A5F" w:val="clear"/>
            <w:tcMar>
              <w:top w:type="dxa" w:w="90"/>
              <w:left w:type="dxa" w:w="90"/>
              <w:bottom w:type="dxa" w:w="90"/>
              <w:right w:type="dxa" w:w="90"/>
            </w:tcMar>
            <w:vAlign w:val="center"/>
          </w:tcPr>
          <w:p>
            <w:pPr>
              <w:spacing w:after="0"/>
              <w:jc w:val="center"/>
            </w:pPr>
            <w:r>
              <w:rPr>
                <w:rFonts w:ascii="Arial" w:cs="Arial" w:eastAsia="Arial" w:hAnsi="Arial"/>
                <w:b/>
                <w:bCs/>
                <w:color w:val="FFFFFF"/>
                <w:sz w:val="18"/>
                <w:szCs w:val="18"/>
              </w:rPr>
              <w:t xml:space="preserve">Description</w:t>
            </w:r>
          </w:p>
        </w:tc>
      </w:tr>
      <w:tr>
        <w:tc>
          <w:tcPr>
            <w:tcW w:type="dxa" w:w="480"/>
            <w:tcBorders>
              <w:top w:val="single" w:color="DDDDDD" w:sz="2"/>
              <w:left w:val="single" w:color="DDDDDD" w:sz="2"/>
              <w:bottom w:val="single" w:color="DDDDDD" w:sz="2"/>
              <w:right w:val="single" w:color="DDDDDD" w:sz="2"/>
            </w:tcBorders>
            <w:shd w:fill="FFFFFF" w:val="clear"/>
            <w:tcMar>
              <w:top w:type="dxa" w:w="90"/>
              <w:left w:type="dxa" w:w="80"/>
              <w:bottom w:type="dxa" w:w="90"/>
              <w:right w:type="dxa" w:w="80"/>
            </w:tcMar>
          </w:tcPr>
          <w:p>
            <w:pPr>
              <w:spacing w:after="0"/>
              <w:jc w:val="center"/>
            </w:pPr>
            <w:r>
              <w:rPr>
                <w:rFonts w:ascii="Arial" w:cs="Arial" w:eastAsia="Arial" w:hAnsi="Arial"/>
                <w:b/>
                <w:bCs/>
                <w:sz w:val="22"/>
                <w:szCs w:val="22"/>
              </w:rPr>
              <w:t xml:space="preserve">1</w:t>
            </w:r>
          </w:p>
        </w:tc>
        <w:tc>
          <w:tcPr>
            <w:tcW w:type="dxa" w:w="2400"/>
            <w:tcBorders>
              <w:top w:val="single" w:color="DDDDDD" w:sz="2"/>
              <w:left w:val="single" w:color="DDDDDD" w:sz="2"/>
              <w:bottom w:val="single" w:color="DDDDDD" w:sz="2"/>
              <w:right w:val="single" w:color="DDDDDD" w:sz="2"/>
            </w:tcBorders>
            <w:shd w:fill="FFFFFF" w:val="clear"/>
            <w:tcMar>
              <w:top w:type="dxa" w:w="90"/>
              <w:left w:type="dxa" w:w="90"/>
              <w:bottom w:type="dxa" w:w="90"/>
              <w:right w:type="dxa" w:w="90"/>
            </w:tcMar>
          </w:tcPr>
          <w:p>
            <w:pPr>
              <w:spacing w:after="0"/>
            </w:pPr>
            <w:r>
              <w:rPr>
                <w:rFonts w:ascii="Arial" w:cs="Arial" w:eastAsia="Arial" w:hAnsi="Arial"/>
                <w:b/>
                <w:bCs/>
                <w:sz w:val="22"/>
                <w:szCs w:val="22"/>
              </w:rPr>
              <w:t xml:space="preserve">HIPAA / BAA (Hard Gate)</w:t>
            </w:r>
          </w:p>
        </w:tc>
        <w:tc>
          <w:tcPr>
            <w:tcW w:type="dxa" w:w="6480"/>
            <w:tcBorders>
              <w:top w:val="single" w:color="DDDDDD" w:sz="2"/>
              <w:left w:val="single" w:color="DDDDDD" w:sz="2"/>
              <w:bottom w:val="single" w:color="DDDDDD" w:sz="2"/>
              <w:right w:val="single" w:color="DDDDDD" w:sz="2"/>
            </w:tcBorders>
            <w:shd w:fill="FFFFFF" w:val="clear"/>
            <w:tcMar>
              <w:top w:type="dxa" w:w="90"/>
              <w:left w:type="dxa" w:w="90"/>
              <w:bottom w:type="dxa" w:w="90"/>
              <w:right w:type="dxa" w:w="90"/>
            </w:tcMar>
          </w:tcPr>
          <w:p>
            <w:pPr>
              <w:spacing w:after="0"/>
            </w:pPr>
            <w:r>
              <w:rPr>
                <w:rFonts w:ascii="Arial" w:cs="Arial" w:eastAsia="Arial" w:hAnsi="Arial"/>
                <w:sz w:val="22"/>
                <w:szCs w:val="22"/>
              </w:rPr>
              <w:t xml:space="preserve">Platform must offer a signed BAA covering all features used, including AI. Failure = immediate disqualification.</w:t>
            </w:r>
          </w:p>
        </w:tc>
      </w:tr>
      <w:tr>
        <w:tc>
          <w:tcPr>
            <w:tcW w:type="dxa" w:w="480"/>
            <w:tcBorders>
              <w:top w:val="single" w:color="DDDDDD" w:sz="2"/>
              <w:left w:val="single" w:color="DDDDDD" w:sz="2"/>
              <w:bottom w:val="single" w:color="DDDDDD" w:sz="2"/>
              <w:right w:val="single" w:color="DDDDDD" w:sz="2"/>
            </w:tcBorders>
            <w:shd w:fill="F1F5F9" w:val="clear"/>
            <w:tcMar>
              <w:top w:type="dxa" w:w="90"/>
              <w:left w:type="dxa" w:w="80"/>
              <w:bottom w:type="dxa" w:w="90"/>
              <w:right w:type="dxa" w:w="80"/>
            </w:tcMar>
          </w:tcPr>
          <w:p>
            <w:pPr>
              <w:spacing w:after="0"/>
              <w:jc w:val="center"/>
            </w:pPr>
            <w:r>
              <w:rPr>
                <w:rFonts w:ascii="Arial" w:cs="Arial" w:eastAsia="Arial" w:hAnsi="Arial"/>
                <w:b/>
                <w:bCs/>
                <w:sz w:val="22"/>
                <w:szCs w:val="22"/>
              </w:rPr>
              <w:t xml:space="preserve">2</w:t>
            </w:r>
          </w:p>
        </w:tc>
        <w:tc>
          <w:tcPr>
            <w:tcW w:type="dxa" w:w="2400"/>
            <w:tcBorders>
              <w:top w:val="single" w:color="DDDDDD" w:sz="2"/>
              <w:left w:val="single" w:color="DDDDDD" w:sz="2"/>
              <w:bottom w:val="single" w:color="DDDDDD" w:sz="2"/>
              <w:right w:val="single" w:color="DDDDDD" w:sz="2"/>
            </w:tcBorders>
            <w:shd w:fill="F1F5F9" w:val="clear"/>
            <w:tcMar>
              <w:top w:type="dxa" w:w="90"/>
              <w:left w:type="dxa" w:w="90"/>
              <w:bottom w:type="dxa" w:w="90"/>
              <w:right w:type="dxa" w:w="90"/>
            </w:tcMar>
          </w:tcPr>
          <w:p>
            <w:pPr>
              <w:spacing w:after="0"/>
            </w:pPr>
            <w:r>
              <w:rPr>
                <w:rFonts w:ascii="Arial" w:cs="Arial" w:eastAsia="Arial" w:hAnsi="Arial"/>
                <w:b/>
                <w:bCs/>
                <w:sz w:val="22"/>
                <w:szCs w:val="22"/>
              </w:rPr>
              <w:t xml:space="preserve">AI Capabilities</w:t>
            </w:r>
          </w:p>
        </w:tc>
        <w:tc>
          <w:tcPr>
            <w:tcW w:type="dxa" w:w="6480"/>
            <w:tcBorders>
              <w:top w:val="single" w:color="DDDDDD" w:sz="2"/>
              <w:left w:val="single" w:color="DDDDDD" w:sz="2"/>
              <w:bottom w:val="single" w:color="DDDDDD" w:sz="2"/>
              <w:right w:val="single" w:color="DDDDDD" w:sz="2"/>
            </w:tcBorders>
            <w:shd w:fill="F1F5F9" w:val="clear"/>
            <w:tcMar>
              <w:top w:type="dxa" w:w="90"/>
              <w:left w:type="dxa" w:w="90"/>
              <w:bottom w:type="dxa" w:w="90"/>
              <w:right w:type="dxa" w:w="90"/>
            </w:tcMar>
          </w:tcPr>
          <w:p>
            <w:pPr>
              <w:spacing w:after="0"/>
            </w:pPr>
            <w:r>
              <w:rPr>
                <w:rFonts w:ascii="Arial" w:cs="Arial" w:eastAsia="Arial" w:hAnsi="Arial"/>
                <w:sz w:val="22"/>
                <w:szCs w:val="22"/>
              </w:rPr>
              <w:t xml:space="preserve">Quality of AI triage, autonomous resolution, and agent-assist. Preference for autonomous resolution with flat-rate pricing over per-resolution billing.</w:t>
            </w:r>
          </w:p>
        </w:tc>
      </w:tr>
      <w:tr>
        <w:tc>
          <w:tcPr>
            <w:tcW w:type="dxa" w:w="480"/>
            <w:tcBorders>
              <w:top w:val="single" w:color="DDDDDD" w:sz="2"/>
              <w:left w:val="single" w:color="DDDDDD" w:sz="2"/>
              <w:bottom w:val="single" w:color="DDDDDD" w:sz="2"/>
              <w:right w:val="single" w:color="DDDDDD" w:sz="2"/>
            </w:tcBorders>
            <w:shd w:fill="FFFFFF" w:val="clear"/>
            <w:tcMar>
              <w:top w:type="dxa" w:w="90"/>
              <w:left w:type="dxa" w:w="80"/>
              <w:bottom w:type="dxa" w:w="90"/>
              <w:right w:type="dxa" w:w="80"/>
            </w:tcMar>
          </w:tcPr>
          <w:p>
            <w:pPr>
              <w:spacing w:after="0"/>
              <w:jc w:val="center"/>
            </w:pPr>
            <w:r>
              <w:rPr>
                <w:rFonts w:ascii="Arial" w:cs="Arial" w:eastAsia="Arial" w:hAnsi="Arial"/>
                <w:b/>
                <w:bCs/>
                <w:sz w:val="22"/>
                <w:szCs w:val="22"/>
              </w:rPr>
              <w:t xml:space="preserve">3</w:t>
            </w:r>
          </w:p>
        </w:tc>
        <w:tc>
          <w:tcPr>
            <w:tcW w:type="dxa" w:w="2400"/>
            <w:tcBorders>
              <w:top w:val="single" w:color="DDDDDD" w:sz="2"/>
              <w:left w:val="single" w:color="DDDDDD" w:sz="2"/>
              <w:bottom w:val="single" w:color="DDDDDD" w:sz="2"/>
              <w:right w:val="single" w:color="DDDDDD" w:sz="2"/>
            </w:tcBorders>
            <w:shd w:fill="FFFFFF" w:val="clear"/>
            <w:tcMar>
              <w:top w:type="dxa" w:w="90"/>
              <w:left w:type="dxa" w:w="90"/>
              <w:bottom w:type="dxa" w:w="90"/>
              <w:right w:type="dxa" w:w="90"/>
            </w:tcMar>
          </w:tcPr>
          <w:p>
            <w:pPr>
              <w:spacing w:after="0"/>
            </w:pPr>
            <w:r>
              <w:rPr>
                <w:rFonts w:ascii="Arial" w:cs="Arial" w:eastAsia="Arial" w:hAnsi="Arial"/>
                <w:b/>
                <w:bCs/>
                <w:sz w:val="22"/>
                <w:szCs w:val="22"/>
              </w:rPr>
              <w:t xml:space="preserve">Pricing</w:t>
            </w:r>
          </w:p>
        </w:tc>
        <w:tc>
          <w:tcPr>
            <w:tcW w:type="dxa" w:w="6480"/>
            <w:tcBorders>
              <w:top w:val="single" w:color="DDDDDD" w:sz="2"/>
              <w:left w:val="single" w:color="DDDDDD" w:sz="2"/>
              <w:bottom w:val="single" w:color="DDDDDD" w:sz="2"/>
              <w:right w:val="single" w:color="DDDDDD" w:sz="2"/>
            </w:tcBorders>
            <w:shd w:fill="FFFFFF" w:val="clear"/>
            <w:tcMar>
              <w:top w:type="dxa" w:w="90"/>
              <w:left w:type="dxa" w:w="90"/>
              <w:bottom w:type="dxa" w:w="90"/>
              <w:right w:type="dxa" w:w="90"/>
            </w:tcMar>
          </w:tcPr>
          <w:p>
            <w:pPr>
              <w:spacing w:after="0"/>
            </w:pPr>
            <w:r>
              <w:rPr>
                <w:rFonts w:ascii="Arial" w:cs="Arial" w:eastAsia="Arial" w:hAnsi="Arial"/>
                <w:sz w:val="22"/>
                <w:szCs w:val="22"/>
              </w:rPr>
              <w:t xml:space="preserve">Per-agent monthly cost at the tier required for HIPAA compliance and full AI features.</w:t>
            </w:r>
          </w:p>
        </w:tc>
      </w:tr>
      <w:tr>
        <w:tc>
          <w:tcPr>
            <w:tcW w:type="dxa" w:w="480"/>
            <w:tcBorders>
              <w:top w:val="single" w:color="DDDDDD" w:sz="2"/>
              <w:left w:val="single" w:color="DDDDDD" w:sz="2"/>
              <w:bottom w:val="single" w:color="DDDDDD" w:sz="2"/>
              <w:right w:val="single" w:color="DDDDDD" w:sz="2"/>
            </w:tcBorders>
            <w:shd w:fill="F1F5F9" w:val="clear"/>
            <w:tcMar>
              <w:top w:type="dxa" w:w="90"/>
              <w:left w:type="dxa" w:w="80"/>
              <w:bottom w:type="dxa" w:w="90"/>
              <w:right w:type="dxa" w:w="80"/>
            </w:tcMar>
          </w:tcPr>
          <w:p>
            <w:pPr>
              <w:spacing w:after="0"/>
              <w:jc w:val="center"/>
            </w:pPr>
            <w:r>
              <w:rPr>
                <w:rFonts w:ascii="Arial" w:cs="Arial" w:eastAsia="Arial" w:hAnsi="Arial"/>
                <w:b/>
                <w:bCs/>
                <w:sz w:val="22"/>
                <w:szCs w:val="22"/>
              </w:rPr>
              <w:t xml:space="preserve">4</w:t>
            </w:r>
          </w:p>
        </w:tc>
        <w:tc>
          <w:tcPr>
            <w:tcW w:type="dxa" w:w="2400"/>
            <w:tcBorders>
              <w:top w:val="single" w:color="DDDDDD" w:sz="2"/>
              <w:left w:val="single" w:color="DDDDDD" w:sz="2"/>
              <w:bottom w:val="single" w:color="DDDDDD" w:sz="2"/>
              <w:right w:val="single" w:color="DDDDDD" w:sz="2"/>
            </w:tcBorders>
            <w:shd w:fill="F1F5F9" w:val="clear"/>
            <w:tcMar>
              <w:top w:type="dxa" w:w="90"/>
              <w:left w:type="dxa" w:w="90"/>
              <w:bottom w:type="dxa" w:w="90"/>
              <w:right w:type="dxa" w:w="90"/>
            </w:tcMar>
          </w:tcPr>
          <w:p>
            <w:pPr>
              <w:spacing w:after="0"/>
            </w:pPr>
            <w:r>
              <w:rPr>
                <w:rFonts w:ascii="Arial" w:cs="Arial" w:eastAsia="Arial" w:hAnsi="Arial"/>
                <w:b/>
                <w:bCs/>
                <w:sz w:val="22"/>
                <w:szCs w:val="22"/>
              </w:rPr>
              <w:t xml:space="preserve">Linear Integration</w:t>
            </w:r>
          </w:p>
        </w:tc>
        <w:tc>
          <w:tcPr>
            <w:tcW w:type="dxa" w:w="6480"/>
            <w:tcBorders>
              <w:top w:val="single" w:color="DDDDDD" w:sz="2"/>
              <w:left w:val="single" w:color="DDDDDD" w:sz="2"/>
              <w:bottom w:val="single" w:color="DDDDDD" w:sz="2"/>
              <w:right w:val="single" w:color="DDDDDD" w:sz="2"/>
            </w:tcBorders>
            <w:shd w:fill="F1F5F9" w:val="clear"/>
            <w:tcMar>
              <w:top w:type="dxa" w:w="90"/>
              <w:left w:type="dxa" w:w="90"/>
              <w:bottom w:type="dxa" w:w="90"/>
              <w:right w:type="dxa" w:w="90"/>
            </w:tcMar>
          </w:tcPr>
          <w:p>
            <w:pPr>
              <w:spacing w:after="0"/>
            </w:pPr>
            <w:r>
              <w:rPr>
                <w:rFonts w:ascii="Arial" w:cs="Arial" w:eastAsia="Arial" w:hAnsi="Arial"/>
                <w:sz w:val="22"/>
                <w:szCs w:val="22"/>
              </w:rPr>
              <w:t xml:space="preserve">Ease of linking support tickets to Linear engineering issues. Native integration preferred over custom webhook setup.</w:t>
            </w:r>
          </w:p>
        </w:tc>
      </w:tr>
      <w:tr>
        <w:tc>
          <w:tcPr>
            <w:tcW w:type="dxa" w:w="480"/>
            <w:tcBorders>
              <w:top w:val="single" w:color="DDDDDD" w:sz="2"/>
              <w:left w:val="single" w:color="DDDDDD" w:sz="2"/>
              <w:bottom w:val="single" w:color="DDDDDD" w:sz="2"/>
              <w:right w:val="single" w:color="DDDDDD" w:sz="2"/>
            </w:tcBorders>
            <w:shd w:fill="FFFFFF" w:val="clear"/>
            <w:tcMar>
              <w:top w:type="dxa" w:w="90"/>
              <w:left w:type="dxa" w:w="80"/>
              <w:bottom w:type="dxa" w:w="90"/>
              <w:right w:type="dxa" w:w="80"/>
            </w:tcMar>
          </w:tcPr>
          <w:p>
            <w:pPr>
              <w:spacing w:after="0"/>
              <w:jc w:val="center"/>
            </w:pPr>
            <w:r>
              <w:rPr>
                <w:rFonts w:ascii="Arial" w:cs="Arial" w:eastAsia="Arial" w:hAnsi="Arial"/>
                <w:b/>
                <w:bCs/>
                <w:sz w:val="22"/>
                <w:szCs w:val="22"/>
              </w:rPr>
              <w:t xml:space="preserve">5</w:t>
            </w:r>
          </w:p>
        </w:tc>
        <w:tc>
          <w:tcPr>
            <w:tcW w:type="dxa" w:w="2400"/>
            <w:tcBorders>
              <w:top w:val="single" w:color="DDDDDD" w:sz="2"/>
              <w:left w:val="single" w:color="DDDDDD" w:sz="2"/>
              <w:bottom w:val="single" w:color="DDDDDD" w:sz="2"/>
              <w:right w:val="single" w:color="DDDDDD" w:sz="2"/>
            </w:tcBorders>
            <w:shd w:fill="FFFFFF" w:val="clear"/>
            <w:tcMar>
              <w:top w:type="dxa" w:w="90"/>
              <w:left w:type="dxa" w:w="90"/>
              <w:bottom w:type="dxa" w:w="90"/>
              <w:right w:type="dxa" w:w="90"/>
            </w:tcMar>
          </w:tcPr>
          <w:p>
            <w:pPr>
              <w:spacing w:after="0"/>
            </w:pPr>
            <w:r>
              <w:rPr>
                <w:rFonts w:ascii="Arial" w:cs="Arial" w:eastAsia="Arial" w:hAnsi="Arial"/>
                <w:b/>
                <w:bCs/>
                <w:sz w:val="22"/>
                <w:szCs w:val="22"/>
              </w:rPr>
              <w:t xml:space="preserve">API Quality</w:t>
            </w:r>
          </w:p>
        </w:tc>
        <w:tc>
          <w:tcPr>
            <w:tcW w:type="dxa" w:w="6480"/>
            <w:tcBorders>
              <w:top w:val="single" w:color="DDDDDD" w:sz="2"/>
              <w:left w:val="single" w:color="DDDDDD" w:sz="2"/>
              <w:bottom w:val="single" w:color="DDDDDD" w:sz="2"/>
              <w:right w:val="single" w:color="DDDDDD" w:sz="2"/>
            </w:tcBorders>
            <w:shd w:fill="FFFFFF" w:val="clear"/>
            <w:tcMar>
              <w:top w:type="dxa" w:w="90"/>
              <w:left w:type="dxa" w:w="90"/>
              <w:bottom w:type="dxa" w:w="90"/>
              <w:right w:type="dxa" w:w="90"/>
            </w:tcMar>
          </w:tcPr>
          <w:p>
            <w:pPr>
              <w:spacing w:after="0"/>
            </w:pPr>
            <w:r>
              <w:rPr>
                <w:rFonts w:ascii="Arial" w:cs="Arial" w:eastAsia="Arial" w:hAnsi="Arial"/>
                <w:sz w:val="22"/>
                <w:szCs w:val="22"/>
              </w:rPr>
              <w:t xml:space="preserve">REST API support for programmatic ticket creation with custom fields, plus outbound webhook events for dashboard status sync.</w:t>
            </w:r>
          </w:p>
        </w:tc>
      </w:tr>
      <w:tr>
        <w:tc>
          <w:tcPr>
            <w:tcW w:type="dxa" w:w="480"/>
            <w:tcBorders>
              <w:top w:val="single" w:color="DDDDDD" w:sz="2"/>
              <w:left w:val="single" w:color="DDDDDD" w:sz="2"/>
              <w:bottom w:val="single" w:color="DDDDDD" w:sz="2"/>
              <w:right w:val="single" w:color="DDDDDD" w:sz="2"/>
            </w:tcBorders>
            <w:shd w:fill="F1F5F9" w:val="clear"/>
            <w:tcMar>
              <w:top w:type="dxa" w:w="90"/>
              <w:left w:type="dxa" w:w="80"/>
              <w:bottom w:type="dxa" w:w="90"/>
              <w:right w:type="dxa" w:w="80"/>
            </w:tcMar>
          </w:tcPr>
          <w:p>
            <w:pPr>
              <w:spacing w:after="0"/>
              <w:jc w:val="center"/>
            </w:pPr>
            <w:r>
              <w:rPr>
                <w:rFonts w:ascii="Arial" w:cs="Arial" w:eastAsia="Arial" w:hAnsi="Arial"/>
                <w:b/>
                <w:bCs/>
                <w:sz w:val="22"/>
                <w:szCs w:val="22"/>
              </w:rPr>
              <w:t xml:space="preserve">6</w:t>
            </w:r>
          </w:p>
        </w:tc>
        <w:tc>
          <w:tcPr>
            <w:tcW w:type="dxa" w:w="2400"/>
            <w:tcBorders>
              <w:top w:val="single" w:color="DDDDDD" w:sz="2"/>
              <w:left w:val="single" w:color="DDDDDD" w:sz="2"/>
              <w:bottom w:val="single" w:color="DDDDDD" w:sz="2"/>
              <w:right w:val="single" w:color="DDDDDD" w:sz="2"/>
            </w:tcBorders>
            <w:shd w:fill="F1F5F9" w:val="clear"/>
            <w:tcMar>
              <w:top w:type="dxa" w:w="90"/>
              <w:left w:type="dxa" w:w="90"/>
              <w:bottom w:type="dxa" w:w="90"/>
              <w:right w:type="dxa" w:w="90"/>
            </w:tcMar>
          </w:tcPr>
          <w:p>
            <w:pPr>
              <w:spacing w:after="0"/>
            </w:pPr>
            <w:r>
              <w:rPr>
                <w:rFonts w:ascii="Arial" w:cs="Arial" w:eastAsia="Arial" w:hAnsi="Arial"/>
                <w:b/>
                <w:bCs/>
                <w:sz w:val="22"/>
                <w:szCs w:val="22"/>
              </w:rPr>
              <w:t xml:space="preserve">Trial Length</w:t>
            </w:r>
          </w:p>
        </w:tc>
        <w:tc>
          <w:tcPr>
            <w:tcW w:type="dxa" w:w="6480"/>
            <w:tcBorders>
              <w:top w:val="single" w:color="DDDDDD" w:sz="2"/>
              <w:left w:val="single" w:color="DDDDDD" w:sz="2"/>
              <w:bottom w:val="single" w:color="DDDDDD" w:sz="2"/>
              <w:right w:val="single" w:color="DDDDDD" w:sz="2"/>
            </w:tcBorders>
            <w:shd w:fill="F1F5F9" w:val="clear"/>
            <w:tcMar>
              <w:top w:type="dxa" w:w="90"/>
              <w:left w:type="dxa" w:w="90"/>
              <w:bottom w:type="dxa" w:w="90"/>
              <w:right w:type="dxa" w:w="90"/>
            </w:tcMar>
          </w:tcPr>
          <w:p>
            <w:pPr>
              <w:spacing w:after="0"/>
            </w:pPr>
            <w:r>
              <w:rPr>
                <w:rFonts w:ascii="Arial" w:cs="Arial" w:eastAsia="Arial" w:hAnsi="Arial"/>
                <w:sz w:val="22"/>
                <w:szCs w:val="22"/>
              </w:rPr>
              <w:t xml:space="preserve">Sufficient runway to build, integrate, and validate the full workflow while also executing the BAA.</w:t>
            </w:r>
          </w:p>
        </w:tc>
      </w:tr>
      <w:tr>
        <w:tc>
          <w:tcPr>
            <w:tcW w:type="dxa" w:w="480"/>
            <w:tcBorders>
              <w:top w:val="single" w:color="DDDDDD" w:sz="2"/>
              <w:left w:val="single" w:color="DDDDDD" w:sz="2"/>
              <w:bottom w:val="single" w:color="DDDDDD" w:sz="2"/>
              <w:right w:val="single" w:color="DDDDDD" w:sz="2"/>
            </w:tcBorders>
            <w:shd w:fill="FFFFFF" w:val="clear"/>
            <w:tcMar>
              <w:top w:type="dxa" w:w="90"/>
              <w:left w:type="dxa" w:w="80"/>
              <w:bottom w:type="dxa" w:w="90"/>
              <w:right w:type="dxa" w:w="80"/>
            </w:tcMar>
          </w:tcPr>
          <w:p>
            <w:pPr>
              <w:spacing w:after="0"/>
              <w:jc w:val="center"/>
            </w:pPr>
            <w:r>
              <w:rPr>
                <w:rFonts w:ascii="Arial" w:cs="Arial" w:eastAsia="Arial" w:hAnsi="Arial"/>
                <w:b/>
                <w:bCs/>
                <w:sz w:val="22"/>
                <w:szCs w:val="22"/>
              </w:rPr>
              <w:t xml:space="preserve">7</w:t>
            </w:r>
          </w:p>
        </w:tc>
        <w:tc>
          <w:tcPr>
            <w:tcW w:type="dxa" w:w="2400"/>
            <w:tcBorders>
              <w:top w:val="single" w:color="DDDDDD" w:sz="2"/>
              <w:left w:val="single" w:color="DDDDDD" w:sz="2"/>
              <w:bottom w:val="single" w:color="DDDDDD" w:sz="2"/>
              <w:right w:val="single" w:color="DDDDDD" w:sz="2"/>
            </w:tcBorders>
            <w:shd w:fill="FFFFFF" w:val="clear"/>
            <w:tcMar>
              <w:top w:type="dxa" w:w="90"/>
              <w:left w:type="dxa" w:w="90"/>
              <w:bottom w:type="dxa" w:w="90"/>
              <w:right w:type="dxa" w:w="90"/>
            </w:tcMar>
          </w:tcPr>
          <w:p>
            <w:pPr>
              <w:spacing w:after="0"/>
            </w:pPr>
            <w:r>
              <w:rPr>
                <w:rFonts w:ascii="Arial" w:cs="Arial" w:eastAsia="Arial" w:hAnsi="Arial"/>
                <w:b/>
                <w:bCs/>
                <w:sz w:val="22"/>
                <w:szCs w:val="22"/>
              </w:rPr>
              <w:t xml:space="preserve">Customer Experience</w:t>
            </w:r>
          </w:p>
        </w:tc>
        <w:tc>
          <w:tcPr>
            <w:tcW w:type="dxa" w:w="6480"/>
            <w:tcBorders>
              <w:top w:val="single" w:color="DDDDDD" w:sz="2"/>
              <w:left w:val="single" w:color="DDDDDD" w:sz="2"/>
              <w:bottom w:val="single" w:color="DDDDDD" w:sz="2"/>
              <w:right w:val="single" w:color="DDDDDD" w:sz="2"/>
            </w:tcBorders>
            <w:shd w:fill="FFFFFF" w:val="clear"/>
            <w:tcMar>
              <w:top w:type="dxa" w:w="90"/>
              <w:left w:type="dxa" w:w="90"/>
              <w:bottom w:type="dxa" w:w="90"/>
              <w:right w:type="dxa" w:w="90"/>
            </w:tcMar>
          </w:tcPr>
          <w:p>
            <w:pPr>
              <w:spacing w:after="0"/>
            </w:pPr>
            <w:r>
              <w:rPr>
                <w:rFonts w:ascii="Arial" w:cs="Arial" w:eastAsia="Arial" w:hAnsi="Arial"/>
                <w:sz w:val="22"/>
                <w:szCs w:val="22"/>
              </w:rPr>
              <w:t xml:space="preserve">Customer portal, email-to-ticket ingestion, and self-service capabilities that improve the customer-facing support experience.</w:t>
            </w:r>
          </w:p>
        </w:tc>
      </w:tr>
    </w:tbl>
    <w:p>
      <w:r>
        <w:br w:type="page"/>
      </w:r>
    </w:p>
    <w:p>
      <w:pPr>
        <w:pStyle w:val="Heading1"/>
        <w:pBdr>
          <w:bottom w:val="single" w:color="0EA5E9" w:sz="8" w:space="2"/>
        </w:pBdr>
        <w:spacing w:after="160" w:before="360"/>
      </w:pPr>
      <w:r>
        <w:rPr>
          <w:rFonts w:ascii="Arial" w:cs="Arial" w:eastAsia="Arial" w:hAnsi="Arial"/>
          <w:b/>
          <w:bCs/>
          <w:sz w:val="32"/>
          <w:szCs w:val="32"/>
        </w:rPr>
        <w:t xml:space="preserve">Platform Evaluations</w:t>
      </w:r>
    </w:p>
    <w:p>
      <w:pPr>
        <w:pStyle w:val="Heading2"/>
        <w:spacing w:after="120" w:before="240"/>
      </w:pPr>
      <w:r>
        <w:rPr>
          <w:rFonts w:ascii="Arial" w:cs="Arial" w:eastAsia="Arial" w:hAnsi="Arial"/>
          <w:b/>
          <w:bCs/>
          <w:sz w:val="26"/>
          <w:szCs w:val="26"/>
        </w:rPr>
        <w:t xml:space="preserve">1. HubSpot Service Hub — Current Platform</w:t>
      </w:r>
    </w:p>
    <w:p>
      <w:pPr>
        <w:spacing w:after="140" w:line="280" w:lineRule="auto"/>
      </w:pPr>
      <w:r>
        <w:rPr>
          <w:rFonts w:ascii="Arial" w:cs="Arial" w:eastAsia="Arial" w:hAnsi="Arial"/>
          <w:sz w:val="22"/>
          <w:szCs w:val="22"/>
        </w:rPr>
        <w:t xml:space="preserve">HubSpot Service Hub is Graphium's current support platform. It is evaluated here as a baseline: whether the existing investment should be retained or replaced by a purpose-built support platform.</w:t>
      </w:r>
    </w:p>
    <w:p>
      <w:pPr>
        <w:spacing w:after="80"/>
      </w:pPr>
      <w:r>
        <w:rPr>
          <w:rFonts w:ascii="Arial" w:cs="Arial" w:eastAsia="Arial" w:hAnsi="Arial"/>
          <w:sz w:val="22"/>
          <w:szCs w:val="22"/>
        </w:rPr>
        <w:t xml:space="preserve"/>
      </w:r>
    </w:p>
    <w:p>
      <w:pPr>
        <w:pStyle w:val="Heading3"/>
        <w:spacing w:after="80" w:before="160"/>
      </w:pPr>
      <w:r>
        <w:rPr>
          <w:rFonts w:ascii="Arial" w:cs="Arial" w:eastAsia="Arial" w:hAnsi="Arial"/>
          <w:b/>
          <w:bCs/>
          <w:color w:val="0EA5E9"/>
          <w:sz w:val="22"/>
          <w:szCs w:val="22"/>
        </w:rPr>
        <w:t xml:space="preserve">Advantages of Staying with HubSpot</w:t>
      </w:r>
    </w:p>
    <w:p>
      <w:pPr>
        <w:pStyle w:val="ListParagraph"/>
        <w:numPr>
          <w:ilvl w:val="0"/>
          <w:numId w:val="2"/>
        </w:numPr>
        <w:spacing w:after="80"/>
      </w:pPr>
      <w:r>
        <w:rPr>
          <w:rFonts w:ascii="Arial" w:cs="Arial" w:eastAsia="Arial" w:hAnsi="Arial"/>
          <w:sz w:val="22"/>
          <w:szCs w:val="22"/>
        </w:rPr>
        <w:t xml:space="preserve">Zero migration cost and effort — The team is already trained, historical ticket data is in place, workflows are configured, and no integration project is required. This is a real and significant advantage over every alternative in this evaluation.</w:t>
      </w:r>
    </w:p>
    <w:p>
      <w:pPr>
        <w:pStyle w:val="ListParagraph"/>
        <w:numPr>
          <w:ilvl w:val="0"/>
          <w:numId w:val="2"/>
        </w:numPr>
        <w:spacing w:after="80"/>
      </w:pPr>
      <w:r>
        <w:rPr>
          <w:rFonts w:ascii="Arial" w:cs="Arial" w:eastAsia="Arial" w:hAnsi="Arial"/>
          <w:sz w:val="22"/>
          <w:szCs w:val="22"/>
        </w:rPr>
        <w:t xml:space="preserve">Native CRM integration — Support tickets link natively to contact records, deal history, and customer lifecycle stage. If agents need visibility into a customer's account or sales context when triaging a ticket, that data is already present. No other platform in this evaluation offers this without a custom integration.</w:t>
      </w:r>
    </w:p>
    <w:p>
      <w:pPr>
        <w:pStyle w:val="ListParagraph"/>
        <w:numPr>
          <w:ilvl w:val="0"/>
          <w:numId w:val="2"/>
        </w:numPr>
        <w:spacing w:after="80"/>
      </w:pPr>
      <w:r>
        <w:rPr>
          <w:rFonts w:ascii="Arial" w:cs="Arial" w:eastAsia="Arial" w:hAnsi="Arial"/>
          <w:sz w:val="22"/>
          <w:szCs w:val="22"/>
        </w:rPr>
        <w:t xml:space="preserve">HIPAA / BAA available — HubSpot offers a BAA and HIPAA compliance features at the Enterprise tier, satisfying the hard compliance requirement.</w:t>
      </w:r>
    </w:p>
    <w:p>
      <w:pPr>
        <w:pStyle w:val="ListParagraph"/>
        <w:numPr>
          <w:ilvl w:val="0"/>
          <w:numId w:val="2"/>
        </w:numPr>
        <w:spacing w:after="80"/>
      </w:pPr>
      <w:r>
        <w:rPr>
          <w:rFonts w:ascii="Arial" w:cs="Arial" w:eastAsia="Arial" w:hAnsi="Arial"/>
          <w:sz w:val="22"/>
          <w:szCs w:val="22"/>
        </w:rPr>
        <w:t xml:space="preserve">Customer portal — HubSpot includes a customer-facing portal for ticket submission and status tracking, matching Zoho Desk and Freshdesk as the only platforms in this evaluation with this capability.</w:t>
      </w:r>
    </w:p>
    <w:p>
      <w:pPr>
        <w:pStyle w:val="ListParagraph"/>
        <w:numPr>
          <w:ilvl w:val="0"/>
          <w:numId w:val="2"/>
        </w:numPr>
        <w:spacing w:after="80"/>
      </w:pPr>
      <w:r>
        <w:rPr>
          <w:rFonts w:ascii="Arial" w:cs="Arial" w:eastAsia="Arial" w:hAnsi="Arial"/>
          <w:sz w:val="22"/>
          <w:szCs w:val="22"/>
        </w:rPr>
        <w:t xml:space="preserve">Email-to-ticket ingestion, automation workflows, and a comprehensive REST API — all present and already operational.</w:t>
      </w:r>
    </w:p>
    <w:p>
      <w:pPr>
        <w:pStyle w:val="ListParagraph"/>
        <w:numPr>
          <w:ilvl w:val="0"/>
          <w:numId w:val="2"/>
        </w:numPr>
        <w:spacing w:after="80"/>
      </w:pPr>
      <w:r>
        <w:rPr>
          <w:rFonts w:ascii="Arial" w:cs="Arial" w:eastAsia="Arial" w:hAnsi="Arial"/>
          <w:sz w:val="22"/>
          <w:szCs w:val="22"/>
        </w:rPr>
        <w:t xml:space="preserve">Unified platform — If Graphium uses HubSpot for sales or marketing as well, keeping support in the same platform avoids tool fragmentation and reduces total software spend.</w:t>
      </w:r>
    </w:p>
    <w:p>
      <w:pPr>
        <w:spacing w:after="80"/>
      </w:pPr>
      <w:r>
        <w:rPr>
          <w:rFonts w:ascii="Arial" w:cs="Arial" w:eastAsia="Arial" w:hAnsi="Arial"/>
          <w:sz w:val="22"/>
          <w:szCs w:val="22"/>
        </w:rPr>
        <w:t xml:space="preserve"/>
      </w:r>
    </w:p>
    <w:p>
      <w:pPr>
        <w:pStyle w:val="Heading3"/>
        <w:spacing w:after="80" w:before="160"/>
      </w:pPr>
      <w:r>
        <w:rPr>
          <w:rFonts w:ascii="Arial" w:cs="Arial" w:eastAsia="Arial" w:hAnsi="Arial"/>
          <w:b/>
          <w:bCs/>
          <w:color w:val="0EA5E9"/>
          <w:sz w:val="22"/>
          <w:szCs w:val="22"/>
        </w:rPr>
        <w:t xml:space="preserve">Disadvantages of Staying with HubSpot</w:t>
      </w:r>
    </w:p>
    <w:p>
      <w:pPr>
        <w:pStyle w:val="ListParagraph"/>
        <w:numPr>
          <w:ilvl w:val="0"/>
          <w:numId w:val="2"/>
        </w:numPr>
        <w:spacing w:after="80"/>
      </w:pPr>
      <w:r>
        <w:rPr>
          <w:rFonts w:ascii="Arial" w:cs="Arial" w:eastAsia="Arial" w:hAnsi="Arial"/>
          <w:sz w:val="22"/>
          <w:szCs w:val="22"/>
        </w:rPr>
        <w:t xml:space="preserve">HIPAA implementation is more limited than dedicated healthcare platforms — HubSpot's approach uses designated 'sensitive data fields' that are HIPAA-covered, rather than treating the entire platform as HIPAA-compliant. Data must be routed into those specific fields carefully. Breeze AI's coverage under the BAA would need explicit confirmation before ticket content flows through it — the same question that disqualified Plain and is pending for DevRev and Freshdesk.</w:t>
      </w:r>
    </w:p>
    <w:p>
      <w:pPr>
        <w:pStyle w:val="ListParagraph"/>
        <w:numPr>
          <w:ilvl w:val="0"/>
          <w:numId w:val="2"/>
        </w:numPr>
        <w:spacing w:after="80"/>
      </w:pPr>
      <w:r>
        <w:rPr>
          <w:rFonts w:ascii="Arial" w:cs="Arial" w:eastAsia="Arial" w:hAnsi="Arial"/>
          <w:sz w:val="22"/>
          <w:szCs w:val="22"/>
        </w:rPr>
        <w:t xml:space="preserve">AI capabilities are significantly weaker — HubSpot's Breeze AI is a general-purpose CRM assistant, not a purpose-built support AI. It provides agent-assist drafting (similar to Chatwoot's AI Assist) but does not offer autonomous ticket triage, classification, or end-to-end resolution. This means support agent workload reduction — a primary goal of this evaluation — is limited compared to DevRev's CX Agent, Intercom's Fin, or Freshdesk's Freddy Self Service.</w:t>
      </w:r>
    </w:p>
    <w:p>
      <w:pPr>
        <w:pStyle w:val="ListParagraph"/>
        <w:numPr>
          <w:ilvl w:val="0"/>
          <w:numId w:val="2"/>
        </w:numPr>
        <w:spacing w:after="80"/>
      </w:pPr>
      <w:r>
        <w:rPr>
          <w:rFonts w:ascii="Arial" w:cs="Arial" w:eastAsia="Arial" w:hAnsi="Arial"/>
          <w:sz w:val="22"/>
          <w:szCs w:val="22"/>
        </w:rPr>
        <w:t xml:space="preserve">Pricing — HubSpot Service Hub Enterprise is typically $1,200+/month for a base number of seats, making it the most expensive option in this evaluation on a per-seat basis. A growing support team would see this cost scale quickly.</w:t>
      </w:r>
    </w:p>
    <w:p>
      <w:pPr>
        <w:pStyle w:val="ListParagraph"/>
        <w:numPr>
          <w:ilvl w:val="0"/>
          <w:numId w:val="2"/>
        </w:numPr>
        <w:spacing w:after="80"/>
      </w:pPr>
      <w:r>
        <w:rPr>
          <w:rFonts w:ascii="Arial" w:cs="Arial" w:eastAsia="Arial" w:hAnsi="Arial"/>
          <w:sz w:val="22"/>
          <w:szCs w:val="22"/>
        </w:rPr>
        <w:t xml:space="preserve">No native Linear integration — Bug escalation to Linear still requires a custom webhook or Zapier setup, the same gap present in Zoho Desk and Intercom.</w:t>
      </w:r>
    </w:p>
    <w:p>
      <w:pPr>
        <w:pStyle w:val="ListParagraph"/>
        <w:numPr>
          <w:ilvl w:val="0"/>
          <w:numId w:val="2"/>
        </w:numPr>
        <w:spacing w:after="80"/>
      </w:pPr>
      <w:r>
        <w:rPr>
          <w:rFonts w:ascii="Arial" w:cs="Arial" w:eastAsia="Arial" w:hAnsi="Arial"/>
          <w:sz w:val="22"/>
          <w:szCs w:val="22"/>
        </w:rPr>
        <w:t xml:space="preserve">Support is a secondary product — HubSpot's core product is a CRM and marketing platform. Service Hub is an add-on, and its ticketing and support features are less specialized than dedicated platforms like DevRev, Freshdesk, or Intercom.</w:t>
      </w:r>
    </w:p>
    <w:p>
      <w:pPr>
        <w:spacing w:after="80"/>
      </w:pPr>
      <w:r>
        <w:rPr>
          <w:rFonts w:ascii="Arial" w:cs="Arial" w:eastAsia="Arial" w:hAnsi="Arial"/>
          <w:sz w:val="22"/>
          <w:szCs w:val="22"/>
        </w:rPr>
        <w:t xml:space="preserve"/>
      </w:r>
    </w:p>
    <w:p>
      <w:pPr>
        <w:pStyle w:val="Heading3"/>
        <w:spacing w:after="80" w:before="160"/>
      </w:pPr>
      <w:r>
        <w:rPr>
          <w:rFonts w:ascii="Arial" w:cs="Arial" w:eastAsia="Arial" w:hAnsi="Arial"/>
          <w:b/>
          <w:bCs/>
          <w:color w:val="0EA5E9"/>
          <w:sz w:val="22"/>
          <w:szCs w:val="22"/>
        </w:rPr>
        <w:t xml:space="preserve">Bottom Line</w:t>
      </w:r>
    </w:p>
    <w:p>
      <w:pPr>
        <w:spacing w:after="140" w:line="280" w:lineRule="auto"/>
      </w:pPr>
      <w:r>
        <w:rPr>
          <w:rFonts w:ascii="Arial" w:cs="Arial" w:eastAsia="Arial" w:hAnsi="Arial"/>
          <w:sz w:val="22"/>
          <w:szCs w:val="22"/>
        </w:rPr>
        <w:t xml:space="preserve">HubSpot makes the most sense if Graphium is deeply embedded in the broader HubSpot CRM ecosystem — with sales, marketing, and support all in one place — and the migration cost to a new platform outweighs the feature and pricing gaps. If support management is the primary use case and the CRM link is not critical to day-to-day agent workflows, a dedicated platform offers stronger AI capabilities at lower per-seat cost. The fact that this evaluation was initiated suggests a gap in the current HubSpot setup. Clarifying what specifically is not meeting expectations (AI deflection, pricing, reporting, or integration) will determine whether staying is a viable option or whether migration delivers sufficient value to justify the effort.</w:t>
      </w:r>
    </w:p>
    <w:p>
      <w:pPr>
        <w:spacing w:after="80"/>
      </w:pPr>
      <w:r>
        <w:rPr>
          <w:rFonts w:ascii="Arial" w:cs="Arial" w:eastAsia="Arial" w:hAnsi="Arial"/>
          <w:sz w:val="22"/>
          <w:szCs w:val="22"/>
        </w:rPr>
        <w:t xml:space="preserve"/>
      </w:r>
    </w:p>
    <w:p>
      <w:pPr>
        <w:pStyle w:val="Heading2"/>
        <w:spacing w:after="120" w:before="240"/>
      </w:pPr>
      <w:r>
        <w:rPr>
          <w:rFonts w:ascii="Arial" w:cs="Arial" w:eastAsia="Arial" w:hAnsi="Arial"/>
          <w:b/>
          <w:bCs/>
          <w:sz w:val="26"/>
          <w:szCs w:val="26"/>
        </w:rPr>
        <w:t xml:space="preserve">3. Plain — ELIMINATED</w:t>
      </w:r>
    </w:p>
    <w:p>
      <w:pPr>
        <w:spacing w:after="140" w:line="280" w:lineRule="auto"/>
      </w:pPr>
      <w:r>
        <w:rPr>
          <w:rFonts w:ascii="Arial" w:cs="Arial" w:eastAsia="Arial" w:hAnsi="Arial"/>
          <w:sz w:val="22"/>
          <w:szCs w:val="22"/>
        </w:rPr>
        <w:t xml:space="preserve">Plain is a B2B SaaS support platform with a GraphQL API, TypeScript SDK, Ari AI agent (customer-facing), and Sidekick (agent-assist). Plain was the initial platform selected for this evaluation based on its modern API-first architecture and strong B2B positioning.</w:t>
      </w:r>
    </w:p>
    <w:p>
      <w:pPr>
        <w:spacing w:after="80"/>
      </w:pPr>
      <w:r>
        <w:rPr>
          <w:rFonts w:ascii="Arial" w:cs="Arial" w:eastAsia="Arial" w:hAnsi="Arial"/>
          <w:sz w:val="22"/>
          <w:szCs w:val="22"/>
        </w:rPr>
        <w:t xml:space="preserve"/>
      </w:r>
    </w:p>
    <w:p>
      <w:pPr>
        <w:spacing w:after="140" w:line="280" w:lineRule="auto"/>
      </w:pPr>
      <w:r>
        <w:rPr>
          <w:rFonts w:ascii="Arial" w:cs="Arial" w:eastAsia="Arial" w:hAnsi="Arial"/>
          <w:sz w:val="22"/>
          <w:szCs w:val="22"/>
        </w:rPr>
        <w:t xml:space="preserve">Plain was eliminated after direct confirmation from their team that they do not offer HIPAA compliance and will not sign a BAA at any tier. This is a hard disqualifier for Graphium. No further evaluation was conducted.</w:t>
      </w:r>
    </w:p>
    <w:p>
      <w:pPr>
        <w:spacing w:after="80"/>
      </w:pPr>
      <w:r>
        <w:rPr>
          <w:rFonts w:ascii="Arial" w:cs="Arial" w:eastAsia="Arial" w:hAnsi="Arial"/>
          <w:sz w:val="22"/>
          <w:szCs w:val="22"/>
        </w:rPr>
        <w:t xml:space="preserve"/>
      </w:r>
    </w:p>
    <w:p>
      <w:pPr>
        <w:pStyle w:val="Heading2"/>
        <w:spacing w:after="120" w:before="240"/>
      </w:pPr>
      <w:r>
        <w:rPr>
          <w:rFonts w:ascii="Arial" w:cs="Arial" w:eastAsia="Arial" w:hAnsi="Arial"/>
          <w:b/>
          <w:bCs/>
          <w:sz w:val="26"/>
          <w:szCs w:val="26"/>
        </w:rPr>
        <w:t xml:space="preserve">4. DevRev — Primary Recommendation</w:t>
      </w:r>
    </w:p>
    <w:p>
      <w:pPr>
        <w:spacing w:after="140" w:line="280" w:lineRule="auto"/>
      </w:pPr>
      <w:r>
        <w:rPr>
          <w:rFonts w:ascii="Arial" w:cs="Arial" w:eastAsia="Arial" w:hAnsi="Arial"/>
          <w:sz w:val="22"/>
          <w:szCs w:val="22"/>
        </w:rPr>
        <w:t xml:space="preserve">DevRev is an AI-native platform that unifies customer support and product development in a single workspace. Support conversations link natively to engineering work items via PLuG, eliminating the need for a separate Linear integration for bug escalation — though Linear can still run in parallel for the broader engineering backlog.</w:t>
      </w:r>
    </w:p>
    <w:p>
      <w:pPr>
        <w:spacing w:after="80"/>
      </w:pPr>
      <w:r>
        <w:rPr>
          <w:rFonts w:ascii="Arial" w:cs="Arial" w:eastAsia="Arial" w:hAnsi="Arial"/>
          <w:sz w:val="22"/>
          <w:szCs w:val="22"/>
        </w:rPr>
        <w:t xml:space="preserve"/>
      </w:r>
    </w:p>
    <w:p>
      <w:pPr>
        <w:spacing w:after="140" w:line="280" w:lineRule="auto"/>
      </w:pPr>
      <w:r>
        <w:rPr>
          <w:rFonts w:ascii="Arial" w:cs="Arial" w:eastAsia="Arial" w:hAnsi="Arial"/>
          <w:sz w:val="22"/>
          <w:szCs w:val="22"/>
        </w:rPr>
        <w:t xml:space="preserve">Key strengths: CX Agent provides autonomous ticket triage and resolution without human involvement; Turing AI assists agents with reply drafts and summaries; AI is included in the flat $19.99/seat/month rate with no per-resolution billing. DevRev offers the longest trial period in this evaluation at 45 days — sufficient to build, integrate, validate, and execute the BAA before committing.</w:t>
      </w:r>
    </w:p>
    <w:p>
      <w:pPr>
        <w:spacing w:after="80"/>
      </w:pPr>
      <w:r>
        <w:rPr>
          <w:rFonts w:ascii="Arial" w:cs="Arial" w:eastAsia="Arial" w:hAnsi="Arial"/>
          <w:sz w:val="22"/>
          <w:szCs w:val="22"/>
        </w:rPr>
        <w:t xml:space="preserve"/>
      </w:r>
    </w:p>
    <w:p>
      <w:pPr>
        <w:spacing w:after="140" w:line="280" w:lineRule="auto"/>
      </w:pPr>
      <w:r>
        <w:rPr>
          <w:rFonts w:ascii="Arial" w:cs="Arial" w:eastAsia="Arial" w:hAnsi="Arial"/>
          <w:sz w:val="22"/>
          <w:szCs w:val="22"/>
        </w:rPr>
        <w:t xml:space="preserve">HIPAA status: BAA availability confirmed by DevRev sales. Process initiated with legal@devrev.ai. One open item remains: the subprocessor list for CX Agent and Turing AI must be confirmed as covered under the BAA before real patient-adjacent data enters the system.</w:t>
      </w:r>
    </w:p>
    <w:p>
      <w:pPr>
        <w:spacing w:after="80"/>
      </w:pPr>
      <w:r>
        <w:rPr>
          <w:rFonts w:ascii="Arial" w:cs="Arial" w:eastAsia="Arial" w:hAnsi="Arial"/>
          <w:sz w:val="22"/>
          <w:szCs w:val="22"/>
        </w:rPr>
        <w:t xml:space="preserve"/>
      </w:r>
    </w:p>
    <w:p>
      <w:pPr>
        <w:pStyle w:val="Heading2"/>
        <w:spacing w:after="120" w:before="240"/>
      </w:pPr>
      <w:r>
        <w:rPr>
          <w:rFonts w:ascii="Arial" w:cs="Arial" w:eastAsia="Arial" w:hAnsi="Arial"/>
          <w:b/>
          <w:bCs/>
          <w:sz w:val="26"/>
          <w:szCs w:val="26"/>
        </w:rPr>
        <w:t xml:space="preserve">5. Zoho Desk — Secondary Recommendation</w:t>
      </w:r>
    </w:p>
    <w:p>
      <w:pPr>
        <w:spacing w:after="140" w:line="280" w:lineRule="auto"/>
      </w:pPr>
      <w:r>
        <w:rPr>
          <w:rFonts w:ascii="Arial" w:cs="Arial" w:eastAsia="Arial" w:hAnsi="Arial"/>
          <w:sz w:val="22"/>
          <w:szCs w:val="22"/>
        </w:rPr>
        <w:t xml:space="preserve">Zoho Desk is a mature enterprise support platform with Zia AI (automated triage, sentiment analysis, reply suggestions), Blueprint workflow automation, SLA management, and a Customer Portal that allows customers to submit and track tickets without contacting an agent.</w:t>
      </w:r>
    </w:p>
    <w:p>
      <w:pPr>
        <w:spacing w:after="80"/>
      </w:pPr>
      <w:r>
        <w:rPr>
          <w:rFonts w:ascii="Arial" w:cs="Arial" w:eastAsia="Arial" w:hAnsi="Arial"/>
          <w:sz w:val="22"/>
          <w:szCs w:val="22"/>
        </w:rPr>
        <w:t xml:space="preserve"/>
      </w:r>
    </w:p>
    <w:p>
      <w:pPr>
        <w:spacing w:after="140" w:line="280" w:lineRule="auto"/>
      </w:pPr>
      <w:r>
        <w:rPr>
          <w:rFonts w:ascii="Arial" w:cs="Arial" w:eastAsia="Arial" w:hAnsi="Arial"/>
          <w:sz w:val="22"/>
          <w:szCs w:val="22"/>
        </w:rPr>
        <w:t xml:space="preserve">HIPAA status: BAA confirmed by Zoho sales, including explicit coverage of Zia AI. US data center availability confirmed. Three follow-up questions are pending: exact Enterprise tier pricing, BAA documentation of data residency, and details on the Linear integration path via Zoho Flow. Zia AI is agent-assisted rather than fully autonomous — it suggests replies that agents review before sending. At approximately $40/agent/month for Enterprise (required for Zia), Zoho is roughly double the per-seat cost of DevRev.</w:t>
      </w:r>
    </w:p>
    <w:p>
      <w:pPr>
        <w:spacing w:after="80"/>
      </w:pPr>
      <w:r>
        <w:rPr>
          <w:rFonts w:ascii="Arial" w:cs="Arial" w:eastAsia="Arial" w:hAnsi="Arial"/>
          <w:sz w:val="22"/>
          <w:szCs w:val="22"/>
        </w:rPr>
        <w:t xml:space="preserve"/>
      </w:r>
    </w:p>
    <w:p>
      <w:pPr>
        <w:pStyle w:val="Heading2"/>
        <w:spacing w:after="120" w:before="240"/>
      </w:pPr>
      <w:r>
        <w:rPr>
          <w:rFonts w:ascii="Arial" w:cs="Arial" w:eastAsia="Arial" w:hAnsi="Arial"/>
          <w:b/>
          <w:bCs/>
          <w:sz w:val="26"/>
          <w:szCs w:val="26"/>
        </w:rPr>
        <w:t xml:space="preserve">6. Chatwoot — Niche Fit (Self-Hosted Only)</w:t>
      </w:r>
    </w:p>
    <w:p>
      <w:pPr>
        <w:spacing w:after="140" w:line="280" w:lineRule="auto"/>
      </w:pPr>
      <w:r>
        <w:rPr>
          <w:rFonts w:ascii="Arial" w:cs="Arial" w:eastAsia="Arial" w:hAnsi="Arial"/>
          <w:sz w:val="22"/>
          <w:szCs w:val="22"/>
        </w:rPr>
        <w:t xml:space="preserve">Chatwoot is an open-source support platform with a native Linear integration and self-hosting capability. Self-hosting provides the strongest possible HIPAA path: Graphium controls the full infrastructure stack and does not require a third-party BAA. The cloud-hosted version's BAA status is unconfirmed.</w:t>
      </w:r>
    </w:p>
    <w:p>
      <w:pPr>
        <w:spacing w:after="80"/>
      </w:pPr>
      <w:r>
        <w:rPr>
          <w:rFonts w:ascii="Arial" w:cs="Arial" w:eastAsia="Arial" w:hAnsi="Arial"/>
          <w:sz w:val="22"/>
          <w:szCs w:val="22"/>
        </w:rPr>
        <w:t xml:space="preserve"/>
      </w:r>
    </w:p>
    <w:p>
      <w:pPr>
        <w:spacing w:after="140" w:line="280" w:lineRule="auto"/>
      </w:pPr>
      <w:r>
        <w:rPr>
          <w:rFonts w:ascii="Arial" w:cs="Arial" w:eastAsia="Arial" w:hAnsi="Arial"/>
          <w:sz w:val="22"/>
          <w:szCs w:val="22"/>
        </w:rPr>
        <w:t xml:space="preserve">AI capabilities are limited compared to other platforms: AI Assist drafts agent replies using the OpenAI API but does not triage or auto-resolve tickets autonomously. Chatwoot is best suited if Graphium's DevOps team can take on the operational overhead of running and maintaining a self-hosted instance. Not recommended as a primary selection unless self-hosting is an accepted operational model.</w:t>
      </w:r>
    </w:p>
    <w:p>
      <w:pPr>
        <w:spacing w:after="80"/>
      </w:pPr>
      <w:r>
        <w:rPr>
          <w:rFonts w:ascii="Arial" w:cs="Arial" w:eastAsia="Arial" w:hAnsi="Arial"/>
          <w:sz w:val="22"/>
          <w:szCs w:val="22"/>
        </w:rPr>
        <w:t xml:space="preserve"/>
      </w:r>
    </w:p>
    <w:p>
      <w:pPr>
        <w:pStyle w:val="Heading2"/>
        <w:spacing w:after="120" w:before="240"/>
      </w:pPr>
      <w:r>
        <w:rPr>
          <w:rFonts w:ascii="Arial" w:cs="Arial" w:eastAsia="Arial" w:hAnsi="Arial"/>
          <w:b/>
          <w:bCs/>
          <w:sz w:val="26"/>
          <w:szCs w:val="26"/>
        </w:rPr>
        <w:t xml:space="preserve">7. Intercom — Cost Risk</w:t>
      </w:r>
    </w:p>
    <w:p>
      <w:pPr>
        <w:spacing w:after="140" w:line="280" w:lineRule="auto"/>
      </w:pPr>
      <w:r>
        <w:rPr>
          <w:rFonts w:ascii="Arial" w:cs="Arial" w:eastAsia="Arial" w:hAnsi="Arial"/>
          <w:sz w:val="22"/>
          <w:szCs w:val="22"/>
        </w:rPr>
        <w:t xml:space="preserve">Intercom's Fin AI is the most capable autonomous resolution engine evaluated — it resolves tickets end-to-end without human involvement, charged at ~$0.99 per Fin-resolved conversation on top of platform seat fees. At low volume this is manageable, but at scale the cost becomes unpredictable relative to flat-rate alternatives.</w:t>
      </w:r>
    </w:p>
    <w:p>
      <w:pPr>
        <w:spacing w:after="80"/>
      </w:pPr>
      <w:r>
        <w:rPr>
          <w:rFonts w:ascii="Arial" w:cs="Arial" w:eastAsia="Arial" w:hAnsi="Arial"/>
          <w:sz w:val="22"/>
          <w:szCs w:val="22"/>
        </w:rPr>
        <w:t xml:space="preserve"/>
      </w:r>
    </w:p>
    <w:p>
      <w:pPr>
        <w:spacing w:after="140" w:line="280" w:lineRule="auto"/>
      </w:pPr>
      <w:r>
        <w:rPr>
          <w:rFonts w:ascii="Arial" w:cs="Arial" w:eastAsia="Arial" w:hAnsi="Arial"/>
          <w:sz w:val="22"/>
          <w:szCs w:val="22"/>
        </w:rPr>
        <w:t xml:space="preserve">HIPAA compliance and BAA are confirmed only at the Expert pricing tier. The combination of Expert tier seat costs plus Fin resolution fees makes Intercom the most expensive option in this evaluation on a total cost of ownership basis. Intercom's AI Insights analytics suite is the most mature of all platforms evaluated, but this does not outweigh the cost risk for a growing platform.</w:t>
      </w:r>
    </w:p>
    <w:p>
      <w:pPr>
        <w:spacing w:after="80"/>
      </w:pPr>
      <w:r>
        <w:rPr>
          <w:rFonts w:ascii="Arial" w:cs="Arial" w:eastAsia="Arial" w:hAnsi="Arial"/>
          <w:sz w:val="22"/>
          <w:szCs w:val="22"/>
        </w:rPr>
        <w:t xml:space="preserve"/>
      </w:r>
    </w:p>
    <w:p>
      <w:pPr>
        <w:pStyle w:val="Heading2"/>
        <w:spacing w:after="120" w:before="240"/>
      </w:pPr>
      <w:r>
        <w:rPr>
          <w:rFonts w:ascii="Arial" w:cs="Arial" w:eastAsia="Arial" w:hAnsi="Arial"/>
          <w:b/>
          <w:bCs/>
          <w:sz w:val="26"/>
          <w:szCs w:val="26"/>
        </w:rPr>
        <w:t xml:space="preserve">8. Linear Asks — Complement Tool Only</w:t>
      </w:r>
    </w:p>
    <w:p>
      <w:pPr>
        <w:spacing w:after="140" w:line="280" w:lineRule="auto"/>
      </w:pPr>
      <w:r>
        <w:rPr>
          <w:rFonts w:ascii="Arial" w:cs="Arial" w:eastAsia="Arial" w:hAnsi="Arial"/>
          <w:sz w:val="22"/>
          <w:szCs w:val="22"/>
        </w:rPr>
        <w:t xml:space="preserve">Linear Asks is an internal tool for support agents and CSMs to log customer requests directly into Linear, linking them to engineering issues. It is not a customer-facing support platform: there is no customer portal, no automated email-to-ticket ingestion, no AI triage, and no autonomous resolution.</w:t>
      </w:r>
    </w:p>
    <w:p>
      <w:pPr>
        <w:spacing w:after="80"/>
      </w:pPr>
      <w:r>
        <w:rPr>
          <w:rFonts w:ascii="Arial" w:cs="Arial" w:eastAsia="Arial" w:hAnsi="Arial"/>
          <w:sz w:val="22"/>
          <w:szCs w:val="22"/>
        </w:rPr>
        <w:t xml:space="preserve"/>
      </w:r>
    </w:p>
    <w:p>
      <w:pPr>
        <w:spacing w:after="140" w:line="280" w:lineRule="auto"/>
      </w:pPr>
      <w:r>
        <w:rPr>
          <w:rFonts w:ascii="Arial" w:cs="Arial" w:eastAsia="Arial" w:hAnsi="Arial"/>
          <w:sz w:val="22"/>
          <w:szCs w:val="22"/>
        </w:rPr>
        <w:t xml:space="preserve">Linear Asks should be used as a complement to whichever primary support platform is selected, not as a standalone solution. Its primary value is demand aggregation: multiple customer Asks linked to a single Linear issue give engineering real signal — with revenue impact — for prioritization. Linear's HIPAA/BAA status is unconfirmed and must be verified before customer name or email data is stored in Asks.</w:t>
      </w:r>
    </w:p>
    <w:p>
      <w:pPr>
        <w:spacing w:after="80"/>
      </w:pPr>
      <w:r>
        <w:rPr>
          <w:rFonts w:ascii="Arial" w:cs="Arial" w:eastAsia="Arial" w:hAnsi="Arial"/>
          <w:sz w:val="22"/>
          <w:szCs w:val="22"/>
        </w:rPr>
        <w:t xml:space="preserve"/>
      </w:r>
    </w:p>
    <w:p>
      <w:pPr>
        <w:pStyle w:val="Heading2"/>
        <w:spacing w:after="120" w:before="240"/>
      </w:pPr>
      <w:r>
        <w:rPr>
          <w:rFonts w:ascii="Arial" w:cs="Arial" w:eastAsia="Arial" w:hAnsi="Arial"/>
          <w:b/>
          <w:bCs/>
          <w:sz w:val="26"/>
          <w:szCs w:val="26"/>
        </w:rPr>
        <w:t xml:space="preserve">9. Freshdesk — Strong Secondary Contender</w:t>
      </w:r>
    </w:p>
    <w:p>
      <w:pPr>
        <w:spacing w:after="140" w:line="280" w:lineRule="auto"/>
      </w:pPr>
      <w:r>
        <w:rPr>
          <w:rFonts w:ascii="Arial" w:cs="Arial" w:eastAsia="Arial" w:hAnsi="Arial"/>
          <w:sz w:val="22"/>
          <w:szCs w:val="22"/>
        </w:rPr>
        <w:t xml:space="preserve">Freshdesk is a mature enterprise support platform from Freshworks with a strong feature set: Freddy AI (Self Service for autonomous resolution, Copilot for agent assist, Insights for analytics), flat-rate AI pricing with no per-resolution fees, a Customer Portal (shared with Zoho Desk as the only platforms in this evaluation to offer one), and a native Linear integration via the Freshworks Marketplace.</w:t>
      </w:r>
    </w:p>
    <w:p>
      <w:pPr>
        <w:spacing w:after="80"/>
      </w:pPr>
      <w:r>
        <w:rPr>
          <w:rFonts w:ascii="Arial" w:cs="Arial" w:eastAsia="Arial" w:hAnsi="Arial"/>
          <w:sz w:val="22"/>
          <w:szCs w:val="22"/>
        </w:rPr>
        <w:t xml:space="preserve"/>
      </w:r>
    </w:p>
    <w:p>
      <w:pPr>
        <w:spacing w:after="140" w:line="280" w:lineRule="auto"/>
      </w:pPr>
      <w:r>
        <w:rPr>
          <w:rFonts w:ascii="Arial" w:cs="Arial" w:eastAsia="Arial" w:hAnsi="Arial"/>
          <w:sz w:val="22"/>
          <w:szCs w:val="22"/>
        </w:rPr>
        <w:t xml:space="preserve">HIPAA status: Confirmed. Freshworks' security team confirmed that Freshdesk is HIPAA compliant and a BAA can be executed. Two items remain open before a final commitment: (a) which pricing tier requires the BAA — the sales contact could not confirm whether it is Pro or Enterprise — and (b) whether Freddy AI subprocessors are explicitly covered under the BAA. Pending those confirmations, Freshdesk advances as a strong secondary contender alongside Zoho Desk.</w:t>
      </w:r>
    </w:p>
    <w:p>
      <w:r>
        <w:br w:type="page"/>
      </w:r>
    </w:p>
    <w:p>
      <w:pPr>
        <w:pStyle w:val="Heading1"/>
        <w:pBdr>
          <w:bottom w:val="single" w:color="0EA5E9" w:sz="8" w:space="2"/>
        </w:pBdr>
        <w:spacing w:after="160" w:before="360"/>
      </w:pPr>
      <w:r>
        <w:rPr>
          <w:rFonts w:ascii="Arial" w:cs="Arial" w:eastAsia="Arial" w:hAnsi="Arial"/>
          <w:b/>
          <w:bCs/>
          <w:sz w:val="32"/>
          <w:szCs w:val="32"/>
        </w:rPr>
        <w:t xml:space="preserve">Recommendation</w:t>
      </w:r>
    </w:p>
    <w:p>
      <w:pPr>
        <w:pStyle w:val="Heading2"/>
        <w:spacing w:after="120" w:before="240"/>
      </w:pPr>
      <w:r>
        <w:rPr>
          <w:rFonts w:ascii="Arial" w:cs="Arial" w:eastAsia="Arial" w:hAnsi="Arial"/>
          <w:b/>
          <w:bCs/>
          <w:sz w:val="26"/>
          <w:szCs w:val="26"/>
        </w:rPr>
        <w:t xml:space="preserve">Primary: DevRev</w:t>
      </w:r>
    </w:p>
    <w:p>
      <w:pPr>
        <w:spacing w:after="140" w:line="280" w:lineRule="auto"/>
      </w:pPr>
      <w:r>
        <w:rPr>
          <w:rFonts w:ascii="Arial" w:cs="Arial" w:eastAsia="Arial" w:hAnsi="Arial"/>
          <w:sz w:val="22"/>
          <w:szCs w:val="22"/>
        </w:rPr>
        <w:t xml:space="preserve">DevRev is recommended as the primary support platform for Graphium AI based on the following:</w:t>
      </w:r>
    </w:p>
    <w:p>
      <w:pPr>
        <w:spacing w:after="8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Confirmed HIPAA BAA — Process already initiated with legal@devrev.ai. DevRev is the furthest along the compliance path of any active platform in the evaluation.</w:t>
      </w:r>
    </w:p>
    <w:p>
      <w:pPr>
        <w:pStyle w:val="ListParagraph"/>
        <w:numPr>
          <w:ilvl w:val="0"/>
          <w:numId w:val="2"/>
        </w:numPr>
        <w:spacing w:after="80"/>
      </w:pPr>
      <w:r>
        <w:rPr>
          <w:rFonts w:ascii="Arial" w:cs="Arial" w:eastAsia="Arial" w:hAnsi="Arial"/>
          <w:sz w:val="22"/>
          <w:szCs w:val="22"/>
        </w:rPr>
        <w:t xml:space="preserve">Lowest per-seat cost — At $19.99/agent/month with AI fully included, DevRev is approximately half the cost of Zoho Desk at Enterprise and a fraction of Intercom's total cost of ownership.</w:t>
      </w:r>
    </w:p>
    <w:p>
      <w:pPr>
        <w:pStyle w:val="ListParagraph"/>
        <w:numPr>
          <w:ilvl w:val="0"/>
          <w:numId w:val="2"/>
        </w:numPr>
        <w:spacing w:after="80"/>
      </w:pPr>
      <w:r>
        <w:rPr>
          <w:rFonts w:ascii="Arial" w:cs="Arial" w:eastAsia="Arial" w:hAnsi="Arial"/>
          <w:sz w:val="22"/>
          <w:szCs w:val="22"/>
        </w:rPr>
        <w:t xml:space="preserve">Autonomous AI triage and resolution — CX Agent resolves tickets end-to-end without human involvement, reducing agent workload. Turing AI provides in-context assist for conversations requiring human response.</w:t>
      </w:r>
    </w:p>
    <w:p>
      <w:pPr>
        <w:pStyle w:val="ListParagraph"/>
        <w:numPr>
          <w:ilvl w:val="0"/>
          <w:numId w:val="2"/>
        </w:numPr>
        <w:spacing w:after="80"/>
      </w:pPr>
      <w:r>
        <w:rPr>
          <w:rFonts w:ascii="Arial" w:cs="Arial" w:eastAsia="Arial" w:hAnsi="Arial"/>
          <w:sz w:val="22"/>
          <w:szCs w:val="22"/>
        </w:rPr>
        <w:t xml:space="preserve">Longest trial period — 45 days provides sufficient runway to build the Fastify integration, test the full workflow, and execute the BAA before committing to a paid plan.</w:t>
      </w:r>
    </w:p>
    <w:p>
      <w:pPr>
        <w:pStyle w:val="ListParagraph"/>
        <w:numPr>
          <w:ilvl w:val="0"/>
          <w:numId w:val="2"/>
        </w:numPr>
        <w:spacing w:after="80"/>
      </w:pPr>
      <w:r>
        <w:rPr>
          <w:rFonts w:ascii="Arial" w:cs="Arial" w:eastAsia="Arial" w:hAnsi="Arial"/>
          <w:sz w:val="22"/>
          <w:szCs w:val="22"/>
        </w:rPr>
        <w:t xml:space="preserve">Native support-to-engineering unification — PLuG links support conversations directly to DevRev work items, providing the tightest loop between customer issues and engineering response without additional integration build.</w:t>
      </w:r>
    </w:p>
    <w:p>
      <w:pPr>
        <w:pStyle w:val="ListParagraph"/>
        <w:numPr>
          <w:ilvl w:val="0"/>
          <w:numId w:val="2"/>
        </w:numPr>
        <w:spacing w:after="80"/>
      </w:pPr>
      <w:r>
        <w:rPr>
          <w:rFonts w:ascii="Arial" w:cs="Arial" w:eastAsia="Arial" w:hAnsi="Arial"/>
          <w:sz w:val="22"/>
          <w:szCs w:val="22"/>
        </w:rPr>
        <w:t xml:space="preserve">Flat AI pricing — No per-resolution billing eliminates budget unpredictability as support volume scales.</w:t>
      </w:r>
    </w:p>
    <w:p>
      <w:pPr>
        <w:spacing w:after="80"/>
      </w:pPr>
      <w:r>
        <w:rPr>
          <w:rFonts w:ascii="Arial" w:cs="Arial" w:eastAsia="Arial" w:hAnsi="Arial"/>
          <w:sz w:val="22"/>
          <w:szCs w:val="22"/>
        </w:rPr>
        <w:t xml:space="preserve"/>
      </w:r>
    </w:p>
    <w:p>
      <w:pPr>
        <w:pStyle w:val="Heading2"/>
        <w:spacing w:after="120" w:before="240"/>
      </w:pPr>
      <w:r>
        <w:rPr>
          <w:rFonts w:ascii="Arial" w:cs="Arial" w:eastAsia="Arial" w:hAnsi="Arial"/>
          <w:b/>
          <w:bCs/>
          <w:sz w:val="26"/>
          <w:szCs w:val="26"/>
        </w:rPr>
        <w:t xml:space="preserve">Secondary: Zoho Desk or Freshdesk</w:t>
      </w:r>
    </w:p>
    <w:p>
      <w:pPr>
        <w:spacing w:after="140" w:line="280" w:lineRule="auto"/>
      </w:pPr>
      <w:r>
        <w:rPr>
          <w:rFonts w:ascii="Arial" w:cs="Arial" w:eastAsia="Arial" w:hAnsi="Arial"/>
          <w:sz w:val="22"/>
          <w:szCs w:val="22"/>
        </w:rPr>
        <w:t xml:space="preserve">Both Zoho Desk and Freshdesk are recommended as fallback options if DevRev is disqualified — for example, if subprocessor coverage under the BAA cannot be confirmed for CX Agent and Turing AI. Both platforms now have confirmed HIPAA BAA availability.</w:t>
      </w:r>
    </w:p>
    <w:p>
      <w:pPr>
        <w:spacing w:after="80"/>
      </w:pPr>
      <w:r>
        <w:rPr>
          <w:rFonts w:ascii="Arial" w:cs="Arial" w:eastAsia="Arial" w:hAnsi="Arial"/>
          <w:sz w:val="22"/>
          <w:szCs w:val="22"/>
        </w:rPr>
        <w:t xml:space="preserve"/>
      </w:r>
    </w:p>
    <w:p>
      <w:pPr>
        <w:pStyle w:val="Heading3"/>
        <w:spacing w:after="80" w:before="160"/>
      </w:pPr>
      <w:r>
        <w:rPr>
          <w:rFonts w:ascii="Arial" w:cs="Arial" w:eastAsia="Arial" w:hAnsi="Arial"/>
          <w:b/>
          <w:bCs/>
          <w:color w:val="0EA5E9"/>
          <w:sz w:val="22"/>
          <w:szCs w:val="22"/>
        </w:rPr>
        <w:t xml:space="preserve">Zoho Desk</w:t>
      </w:r>
    </w:p>
    <w:p>
      <w:pPr>
        <w:pStyle w:val="ListParagraph"/>
        <w:numPr>
          <w:ilvl w:val="0"/>
          <w:numId w:val="2"/>
        </w:numPr>
        <w:spacing w:after="80"/>
      </w:pPr>
      <w:r>
        <w:rPr>
          <w:rFonts w:ascii="Arial" w:cs="Arial" w:eastAsia="Arial" w:hAnsi="Arial"/>
          <w:sz w:val="22"/>
          <w:szCs w:val="22"/>
        </w:rPr>
        <w:t xml:space="preserve">HIPAA BAA confirmed — Including explicit Zia AI coverage, confirmed directly by Zoho sales.</w:t>
      </w:r>
    </w:p>
    <w:p>
      <w:pPr>
        <w:pStyle w:val="ListParagraph"/>
        <w:numPr>
          <w:ilvl w:val="0"/>
          <w:numId w:val="2"/>
        </w:numPr>
        <w:spacing w:after="80"/>
      </w:pPr>
      <w:r>
        <w:rPr>
          <w:rFonts w:ascii="Arial" w:cs="Arial" w:eastAsia="Arial" w:hAnsi="Arial"/>
          <w:sz w:val="22"/>
          <w:szCs w:val="22"/>
        </w:rPr>
        <w:t xml:space="preserve">Customer Portal — Self-service interface for customers to submit and track tickets; a meaningful differentiator for B2B healthcare clients.</w:t>
      </w:r>
    </w:p>
    <w:p>
      <w:pPr>
        <w:pStyle w:val="ListParagraph"/>
        <w:numPr>
          <w:ilvl w:val="0"/>
          <w:numId w:val="2"/>
        </w:numPr>
        <w:spacing w:after="80"/>
      </w:pPr>
      <w:r>
        <w:rPr>
          <w:rFonts w:ascii="Arial" w:cs="Arial" w:eastAsia="Arial" w:hAnsi="Arial"/>
          <w:sz w:val="22"/>
          <w:szCs w:val="22"/>
        </w:rPr>
        <w:t xml:space="preserve">Mature platform — Longer market history than DevRev with established enterprise support tooling.</w:t>
      </w:r>
    </w:p>
    <w:p>
      <w:pPr>
        <w:spacing w:after="80"/>
      </w:pPr>
      <w:r>
        <w:rPr>
          <w:rFonts w:ascii="Arial" w:cs="Arial" w:eastAsia="Arial" w:hAnsi="Arial"/>
          <w:sz w:val="22"/>
          <w:szCs w:val="22"/>
        </w:rPr>
        <w:t xml:space="preserve"/>
      </w:r>
    </w:p>
    <w:p>
      <w:pPr>
        <w:spacing w:after="140" w:line="280" w:lineRule="auto"/>
      </w:pPr>
      <w:r>
        <w:rPr>
          <w:rFonts w:ascii="Arial" w:cs="Arial" w:eastAsia="Arial" w:hAnsi="Arial"/>
          <w:sz w:val="22"/>
          <w:szCs w:val="22"/>
        </w:rPr>
        <w:t xml:space="preserve">Trade-offs versus DevRev: approximately double the per-seat cost (~$40/agent vs $19.99), Zia AI is agent-assisted rather than autonomous, and the trial is 30 days versus 45.</w:t>
      </w:r>
    </w:p>
    <w:p>
      <w:pPr>
        <w:spacing w:after="80"/>
      </w:pPr>
      <w:r>
        <w:rPr>
          <w:rFonts w:ascii="Arial" w:cs="Arial" w:eastAsia="Arial" w:hAnsi="Arial"/>
          <w:sz w:val="22"/>
          <w:szCs w:val="22"/>
        </w:rPr>
        <w:t xml:space="preserve"/>
      </w:r>
    </w:p>
    <w:p>
      <w:pPr>
        <w:pStyle w:val="Heading3"/>
        <w:spacing w:after="80" w:before="160"/>
      </w:pPr>
      <w:r>
        <w:rPr>
          <w:rFonts w:ascii="Arial" w:cs="Arial" w:eastAsia="Arial" w:hAnsi="Arial"/>
          <w:b/>
          <w:bCs/>
          <w:color w:val="0EA5E9"/>
          <w:sz w:val="22"/>
          <w:szCs w:val="22"/>
        </w:rPr>
        <w:t xml:space="preserve">Freshdesk</w:t>
      </w:r>
    </w:p>
    <w:p>
      <w:pPr>
        <w:pStyle w:val="ListParagraph"/>
        <w:numPr>
          <w:ilvl w:val="0"/>
          <w:numId w:val="2"/>
        </w:numPr>
        <w:spacing w:after="80"/>
      </w:pPr>
      <w:r>
        <w:rPr>
          <w:rFonts w:ascii="Arial" w:cs="Arial" w:eastAsia="Arial" w:hAnsi="Arial"/>
          <w:sz w:val="22"/>
          <w:szCs w:val="22"/>
        </w:rPr>
        <w:t xml:space="preserve">HIPAA BAA confirmed — Freshworks security team confirmed compliance and BAA availability. Two items still pending: which tier requires the BAA and whether Freddy AI subprocessors are explicitly covered.</w:t>
      </w:r>
    </w:p>
    <w:p>
      <w:pPr>
        <w:pStyle w:val="ListParagraph"/>
        <w:numPr>
          <w:ilvl w:val="0"/>
          <w:numId w:val="2"/>
        </w:numPr>
        <w:spacing w:after="80"/>
      </w:pPr>
      <w:r>
        <w:rPr>
          <w:rFonts w:ascii="Arial" w:cs="Arial" w:eastAsia="Arial" w:hAnsi="Arial"/>
          <w:sz w:val="22"/>
          <w:szCs w:val="22"/>
        </w:rPr>
        <w:t xml:space="preserve">Freddy Self Service — Fully autonomous resolution engine comparable to DevRev's CX Agent, with flat-rate pricing and no per-resolution fees.</w:t>
      </w:r>
    </w:p>
    <w:p>
      <w:pPr>
        <w:pStyle w:val="ListParagraph"/>
        <w:numPr>
          <w:ilvl w:val="0"/>
          <w:numId w:val="2"/>
        </w:numPr>
        <w:spacing w:after="80"/>
      </w:pPr>
      <w:r>
        <w:rPr>
          <w:rFonts w:ascii="Arial" w:cs="Arial" w:eastAsia="Arial" w:hAnsi="Arial"/>
          <w:sz w:val="22"/>
          <w:szCs w:val="22"/>
        </w:rPr>
        <w:t xml:space="preserve">Customer Portal — One of only two platforms in this evaluation with a native customer-facing self-service portal (alongside Zoho Desk).</w:t>
      </w:r>
    </w:p>
    <w:p>
      <w:pPr>
        <w:pStyle w:val="ListParagraph"/>
        <w:numPr>
          <w:ilvl w:val="0"/>
          <w:numId w:val="2"/>
        </w:numPr>
        <w:spacing w:after="80"/>
      </w:pPr>
      <w:r>
        <w:rPr>
          <w:rFonts w:ascii="Arial" w:cs="Arial" w:eastAsia="Arial" w:hAnsi="Arial"/>
          <w:sz w:val="22"/>
          <w:szCs w:val="22"/>
        </w:rPr>
        <w:t xml:space="preserve">Native Linear integration — Available via the Freshworks Marketplace; lowest Linear integration effort of any platform outside of Linear Asks itself.</w:t>
      </w:r>
    </w:p>
    <w:p>
      <w:pPr>
        <w:spacing w:after="80"/>
      </w:pPr>
      <w:r>
        <w:rPr>
          <w:rFonts w:ascii="Arial" w:cs="Arial" w:eastAsia="Arial" w:hAnsi="Arial"/>
          <w:sz w:val="22"/>
          <w:szCs w:val="22"/>
        </w:rPr>
        <w:t xml:space="preserve"/>
      </w:r>
    </w:p>
    <w:p>
      <w:pPr>
        <w:spacing w:after="140" w:line="280" w:lineRule="auto"/>
      </w:pPr>
      <w:r>
        <w:rPr>
          <w:rFonts w:ascii="Arial" w:cs="Arial" w:eastAsia="Arial" w:hAnsi="Arial"/>
          <w:sz w:val="22"/>
          <w:szCs w:val="22"/>
        </w:rPr>
        <w:t xml:space="preserve">Trade-offs: BAA tier requirement and exact pricing still pending final confirmation. Once resolved, Freshdesk may prove stronger than Zoho Desk as the secondary recommendation given its autonomous AI and native Linear integration.</w:t>
      </w:r>
    </w:p>
    <w:p>
      <w:pPr>
        <w:spacing w:after="80"/>
      </w:pPr>
      <w:r>
        <w:rPr>
          <w:rFonts w:ascii="Arial" w:cs="Arial" w:eastAsia="Arial" w:hAnsi="Arial"/>
          <w:sz w:val="22"/>
          <w:szCs w:val="22"/>
        </w:rPr>
        <w:t xml:space="preserve"/>
      </w:r>
    </w:p>
    <w:p>
      <w:pPr>
        <w:pStyle w:val="Heading2"/>
        <w:spacing w:after="120" w:before="240"/>
      </w:pPr>
      <w:r>
        <w:rPr>
          <w:rFonts w:ascii="Arial" w:cs="Arial" w:eastAsia="Arial" w:hAnsi="Arial"/>
          <w:b/>
          <w:bCs/>
          <w:sz w:val="26"/>
          <w:szCs w:val="26"/>
        </w:rPr>
        <w:t xml:space="preserve">Not Recommended at This Time</w:t>
      </w:r>
    </w:p>
    <w:p>
      <w:pPr>
        <w:pStyle w:val="ListParagraph"/>
        <w:numPr>
          <w:ilvl w:val="0"/>
          <w:numId w:val="2"/>
        </w:numPr>
        <w:spacing w:after="80"/>
      </w:pPr>
      <w:r>
        <w:rPr>
          <w:rFonts w:ascii="Arial" w:cs="Arial" w:eastAsia="Arial" w:hAnsi="Arial"/>
          <w:sz w:val="22"/>
          <w:szCs w:val="22"/>
        </w:rPr>
        <w:t xml:space="preserve">HubSpot Service Hub — Viable only if deeply embedded in the broader HubSpot CRM ecosystem. Higher per-seat cost than all alternatives, weaker AI (no autonomous resolution), and HIPAA coverage limited to specific sensitive data fields. Staying is the right call only if migration cost outweighs these gaps.</w:t>
      </w:r>
    </w:p>
    <w:p>
      <w:pPr>
        <w:pStyle w:val="ListParagraph"/>
        <w:numPr>
          <w:ilvl w:val="0"/>
          <w:numId w:val="2"/>
        </w:numPr>
        <w:spacing w:after="80"/>
      </w:pPr>
      <w:r>
        <w:rPr>
          <w:rFonts w:ascii="Arial" w:cs="Arial" w:eastAsia="Arial" w:hAnsi="Arial"/>
          <w:sz w:val="22"/>
          <w:szCs w:val="22"/>
        </w:rPr>
        <w:t xml:space="preserve">Plain — Eliminated. No HIPAA BAA available at any tier.</w:t>
      </w:r>
    </w:p>
    <w:p>
      <w:pPr>
        <w:pStyle w:val="ListParagraph"/>
        <w:numPr>
          <w:ilvl w:val="0"/>
          <w:numId w:val="2"/>
        </w:numPr>
        <w:spacing w:after="80"/>
      </w:pPr>
      <w:r>
        <w:rPr>
          <w:rFonts w:ascii="Arial" w:cs="Arial" w:eastAsia="Arial" w:hAnsi="Arial"/>
          <w:sz w:val="22"/>
          <w:szCs w:val="22"/>
        </w:rPr>
        <w:t xml:space="preserve">Chatwoot — Viable only if self-hosting is accepted as an operational model; limited AI capabilities.</w:t>
      </w:r>
    </w:p>
    <w:p>
      <w:pPr>
        <w:pStyle w:val="ListParagraph"/>
        <w:numPr>
          <w:ilvl w:val="0"/>
          <w:numId w:val="2"/>
        </w:numPr>
        <w:spacing w:after="80"/>
      </w:pPr>
      <w:r>
        <w:rPr>
          <w:rFonts w:ascii="Arial" w:cs="Arial" w:eastAsia="Arial" w:hAnsi="Arial"/>
          <w:sz w:val="22"/>
          <w:szCs w:val="22"/>
        </w:rPr>
        <w:t xml:space="preserve">Intercom — Highest total cost of ownership; Fin AI billing risk outweighs best-in-class AI capability.</w:t>
      </w:r>
    </w:p>
    <w:p>
      <w:pPr>
        <w:pStyle w:val="ListParagraph"/>
        <w:numPr>
          <w:ilvl w:val="0"/>
          <w:numId w:val="2"/>
        </w:numPr>
        <w:spacing w:after="80"/>
      </w:pPr>
      <w:r>
        <w:rPr>
          <w:rFonts w:ascii="Arial" w:cs="Arial" w:eastAsia="Arial" w:hAnsi="Arial"/>
          <w:sz w:val="22"/>
          <w:szCs w:val="22"/>
        </w:rPr>
        <w:t xml:space="preserve">Linear Asks — Not a support platform. Use as a complement to the primary platform selection.</w:t>
      </w:r>
    </w:p>
    <w:p>
      <w:r>
        <w:br w:type="page"/>
      </w:r>
    </w:p>
    <w:p>
      <w:pPr>
        <w:pStyle w:val="Heading1"/>
        <w:pBdr>
          <w:bottom w:val="single" w:color="0EA5E9" w:sz="8" w:space="2"/>
        </w:pBdr>
        <w:spacing w:after="160" w:before="360"/>
      </w:pPr>
      <w:r>
        <w:rPr>
          <w:rFonts w:ascii="Arial" w:cs="Arial" w:eastAsia="Arial" w:hAnsi="Arial"/>
          <w:b/>
          <w:bCs/>
          <w:sz w:val="32"/>
          <w:szCs w:val="32"/>
        </w:rPr>
        <w:t xml:space="preserve">Open Items</w:t>
      </w:r>
    </w:p>
    <w:p>
      <w:pPr>
        <w:spacing w:after="140" w:line="280" w:lineRule="auto"/>
      </w:pPr>
      <w:r>
        <w:rPr>
          <w:rFonts w:ascii="Arial" w:cs="Arial" w:eastAsia="Arial" w:hAnsi="Arial"/>
          <w:sz w:val="22"/>
          <w:szCs w:val="22"/>
        </w:rPr>
        <w:t xml:space="preserve">The following items must be resolved before a final platform commitment is made:</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320"/>
        <w:gridCol w:w="2640"/>
      </w:tblGrid>
      <w:tr>
        <w:tc>
          <w:tcPr>
            <w:tcW w:type="dxa" w:w="400"/>
            <w:tcBorders>
              <w:top w:val="single" w:color="333333" w:sz="2"/>
              <w:left w:val="single" w:color="333333" w:sz="2"/>
              <w:bottom w:val="single" w:color="333333" w:sz="2"/>
              <w:right w:val="single" w:color="333333" w:sz="2"/>
            </w:tcBorders>
            <w:shd w:fill="1E3A5F" w:val="clear"/>
            <w:tcMar>
              <w:top w:type="dxa" w:w="90"/>
              <w:left w:type="dxa" w:w="90"/>
              <w:bottom w:type="dxa" w:w="90"/>
              <w:right w:type="dxa" w:w="90"/>
            </w:tcMar>
            <w:vAlign w:val="center"/>
          </w:tcPr>
          <w:p>
            <w:pPr>
              <w:spacing w:after="0"/>
              <w:jc w:val="center"/>
            </w:pPr>
            <w:r>
              <w:rPr>
                <w:rFonts w:ascii="Arial" w:cs="Arial" w:eastAsia="Arial" w:hAnsi="Arial"/>
                <w:b/>
                <w:bCs/>
                <w:color w:val="FFFFFF"/>
                <w:sz w:val="18"/>
                <w:szCs w:val="18"/>
              </w:rPr>
              <w:t xml:space="preserve">#</w:t>
            </w:r>
          </w:p>
        </w:tc>
        <w:tc>
          <w:tcPr>
            <w:tcW w:type="dxa" w:w="2000"/>
            <w:tcBorders>
              <w:top w:val="single" w:color="333333" w:sz="2"/>
              <w:left w:val="single" w:color="333333" w:sz="2"/>
              <w:bottom w:val="single" w:color="333333" w:sz="2"/>
              <w:right w:val="single" w:color="333333" w:sz="2"/>
            </w:tcBorders>
            <w:shd w:fill="1E3A5F" w:val="clear"/>
            <w:tcMar>
              <w:top w:type="dxa" w:w="90"/>
              <w:left w:type="dxa" w:w="90"/>
              <w:bottom w:type="dxa" w:w="90"/>
              <w:right w:type="dxa" w:w="90"/>
            </w:tcMar>
            <w:vAlign w:val="center"/>
          </w:tcPr>
          <w:p>
            <w:pPr>
              <w:spacing w:after="0"/>
              <w:jc w:val="center"/>
            </w:pPr>
            <w:r>
              <w:rPr>
                <w:rFonts w:ascii="Arial" w:cs="Arial" w:eastAsia="Arial" w:hAnsi="Arial"/>
                <w:b/>
                <w:bCs/>
                <w:color w:val="FFFFFF"/>
                <w:sz w:val="18"/>
                <w:szCs w:val="18"/>
              </w:rPr>
              <w:t xml:space="preserve">Platform</w:t>
            </w:r>
          </w:p>
        </w:tc>
        <w:tc>
          <w:tcPr>
            <w:tcW w:type="dxa" w:w="4320"/>
            <w:tcBorders>
              <w:top w:val="single" w:color="333333" w:sz="2"/>
              <w:left w:val="single" w:color="333333" w:sz="2"/>
              <w:bottom w:val="single" w:color="333333" w:sz="2"/>
              <w:right w:val="single" w:color="333333" w:sz="2"/>
            </w:tcBorders>
            <w:shd w:fill="1E3A5F" w:val="clear"/>
            <w:tcMar>
              <w:top w:type="dxa" w:w="90"/>
              <w:left w:type="dxa" w:w="90"/>
              <w:bottom w:type="dxa" w:w="90"/>
              <w:right w:type="dxa" w:w="90"/>
            </w:tcMar>
            <w:vAlign w:val="center"/>
          </w:tcPr>
          <w:p>
            <w:pPr>
              <w:spacing w:after="0"/>
              <w:jc w:val="center"/>
            </w:pPr>
            <w:r>
              <w:rPr>
                <w:rFonts w:ascii="Arial" w:cs="Arial" w:eastAsia="Arial" w:hAnsi="Arial"/>
                <w:b/>
                <w:bCs/>
                <w:color w:val="FFFFFF"/>
                <w:sz w:val="18"/>
                <w:szCs w:val="18"/>
              </w:rPr>
              <w:t xml:space="preserve">Item</w:t>
            </w:r>
          </w:p>
        </w:tc>
        <w:tc>
          <w:tcPr>
            <w:tcW w:type="dxa" w:w="2640"/>
            <w:tcBorders>
              <w:top w:val="single" w:color="333333" w:sz="2"/>
              <w:left w:val="single" w:color="333333" w:sz="2"/>
              <w:bottom w:val="single" w:color="333333" w:sz="2"/>
              <w:right w:val="single" w:color="333333" w:sz="2"/>
            </w:tcBorders>
            <w:shd w:fill="1E3A5F" w:val="clear"/>
            <w:tcMar>
              <w:top w:type="dxa" w:w="90"/>
              <w:left w:type="dxa" w:w="90"/>
              <w:bottom w:type="dxa" w:w="90"/>
              <w:right w:type="dxa" w:w="90"/>
            </w:tcMar>
            <w:vAlign w:val="center"/>
          </w:tcPr>
          <w:p>
            <w:pPr>
              <w:spacing w:after="0"/>
              <w:jc w:val="center"/>
            </w:pPr>
            <w:r>
              <w:rPr>
                <w:rFonts w:ascii="Arial" w:cs="Arial" w:eastAsia="Arial" w:hAnsi="Arial"/>
                <w:b/>
                <w:bCs/>
                <w:color w:val="FFFFFF"/>
                <w:sz w:val="18"/>
                <w:szCs w:val="18"/>
              </w:rPr>
              <w:t xml:space="preserve">Action / Status</w:t>
            </w:r>
          </w:p>
        </w:tc>
      </w:tr>
      <w:tr>
        <w:tc>
          <w:tcPr>
            <w:tcW w:type="dxa" w:w="400"/>
            <w:tcBorders>
              <w:top w:val="single" w:color="DDDDDD" w:sz="2"/>
              <w:left w:val="single" w:color="DDDDDD" w:sz="2"/>
              <w:bottom w:val="single" w:color="DDDDDD" w:sz="2"/>
              <w:right w:val="single" w:color="DDDDDD" w:sz="2"/>
            </w:tcBorders>
            <w:shd w:fill="FFFFFF" w:val="clear"/>
            <w:tcMar>
              <w:top w:type="dxa" w:w="90"/>
              <w:left w:type="dxa" w:w="80"/>
              <w:bottom w:type="dxa" w:w="90"/>
              <w:right w:type="dxa" w:w="80"/>
            </w:tcMar>
          </w:tcPr>
          <w:p>
            <w:pPr>
              <w:spacing w:after="0"/>
              <w:jc w:val="center"/>
            </w:pPr>
            <w:r>
              <w:rPr>
                <w:rFonts w:ascii="Arial" w:cs="Arial" w:eastAsia="Arial" w:hAnsi="Arial"/>
                <w:b/>
                <w:bCs/>
                <w:sz w:val="22"/>
                <w:szCs w:val="22"/>
              </w:rPr>
              <w:t xml:space="preserve">1</w:t>
            </w:r>
          </w:p>
        </w:tc>
        <w:tc>
          <w:tcPr>
            <w:tcW w:type="dxa" w:w="2000"/>
            <w:tcBorders>
              <w:top w:val="single" w:color="DDDDDD" w:sz="2"/>
              <w:left w:val="single" w:color="DDDDDD" w:sz="2"/>
              <w:bottom w:val="single" w:color="DDDDDD" w:sz="2"/>
              <w:right w:val="single" w:color="DDDDDD" w:sz="2"/>
            </w:tcBorders>
            <w:shd w:fill="FFFFFF" w:val="clear"/>
            <w:tcMar>
              <w:top w:type="dxa" w:w="90"/>
              <w:left w:type="dxa" w:w="90"/>
              <w:bottom w:type="dxa" w:w="90"/>
              <w:right w:type="dxa" w:w="90"/>
            </w:tcMar>
          </w:tcPr>
          <w:p>
            <w:pPr>
              <w:spacing w:after="0"/>
            </w:pPr>
            <w:r>
              <w:rPr>
                <w:rFonts w:ascii="Arial" w:cs="Arial" w:eastAsia="Arial" w:hAnsi="Arial"/>
                <w:b/>
                <w:bCs/>
                <w:sz w:val="22"/>
                <w:szCs w:val="22"/>
              </w:rPr>
              <w:t xml:space="preserve">DevRev</w:t>
            </w:r>
          </w:p>
        </w:tc>
        <w:tc>
          <w:tcPr>
            <w:tcW w:type="dxa" w:w="4320"/>
            <w:tcBorders>
              <w:top w:val="single" w:color="DDDDDD" w:sz="2"/>
              <w:left w:val="single" w:color="DDDDDD" w:sz="2"/>
              <w:bottom w:val="single" w:color="DDDDDD" w:sz="2"/>
              <w:right w:val="single" w:color="DDDDDD" w:sz="2"/>
            </w:tcBorders>
            <w:shd w:fill="FFFFFF" w:val="clear"/>
            <w:tcMar>
              <w:top w:type="dxa" w:w="90"/>
              <w:left w:type="dxa" w:w="90"/>
              <w:bottom w:type="dxa" w:w="90"/>
              <w:right w:type="dxa" w:w="90"/>
            </w:tcMar>
          </w:tcPr>
          <w:p>
            <w:pPr>
              <w:spacing w:after="0"/>
            </w:pPr>
            <w:r>
              <w:rPr>
                <w:rFonts w:ascii="Arial" w:cs="Arial" w:eastAsia="Arial" w:hAnsi="Arial"/>
                <w:sz w:val="22"/>
                <w:szCs w:val="22"/>
              </w:rPr>
              <w:t xml:space="preserve">Confirm AI subprocessor list: which model providers power CX Agent and Turing AI, and whether each is covered under the BAA.</w:t>
            </w:r>
          </w:p>
        </w:tc>
        <w:tc>
          <w:tcPr>
            <w:tcW w:type="dxa" w:w="2640"/>
            <w:tcBorders>
              <w:top w:val="single" w:color="DDDDDD" w:sz="2"/>
              <w:left w:val="single" w:color="DDDDDD" w:sz="2"/>
              <w:bottom w:val="single" w:color="DDDDDD" w:sz="2"/>
              <w:right w:val="single" w:color="DDDDDD" w:sz="2"/>
            </w:tcBorders>
            <w:shd w:fill="FEF3C7" w:val="clear"/>
            <w:tcMar>
              <w:top w:type="dxa" w:w="90"/>
              <w:left w:type="dxa" w:w="90"/>
              <w:bottom w:type="dxa" w:w="90"/>
              <w:right w:type="dxa" w:w="90"/>
            </w:tcMar>
          </w:tcPr>
          <w:p>
            <w:pPr>
              <w:spacing w:after="0"/>
            </w:pPr>
            <w:r>
              <w:rPr>
                <w:rFonts w:ascii="Arial" w:cs="Arial" w:eastAsia="Arial" w:hAnsi="Arial"/>
                <w:color w:val="92400E"/>
                <w:sz w:val="22"/>
                <w:szCs w:val="22"/>
              </w:rPr>
              <w:t xml:space="preserve">Awaiting response from legal@devrev.ai</w:t>
            </w:r>
          </w:p>
        </w:tc>
      </w:tr>
      <w:tr>
        <w:tc>
          <w:tcPr>
            <w:tcW w:type="dxa" w:w="400"/>
            <w:tcBorders>
              <w:top w:val="single" w:color="DDDDDD" w:sz="2"/>
              <w:left w:val="single" w:color="DDDDDD" w:sz="2"/>
              <w:bottom w:val="single" w:color="DDDDDD" w:sz="2"/>
              <w:right w:val="single" w:color="DDDDDD" w:sz="2"/>
            </w:tcBorders>
            <w:shd w:fill="F1F5F9" w:val="clear"/>
            <w:tcMar>
              <w:top w:type="dxa" w:w="90"/>
              <w:left w:type="dxa" w:w="80"/>
              <w:bottom w:type="dxa" w:w="90"/>
              <w:right w:type="dxa" w:w="80"/>
            </w:tcMar>
          </w:tcPr>
          <w:p>
            <w:pPr>
              <w:spacing w:after="0"/>
              <w:jc w:val="center"/>
            </w:pPr>
            <w:r>
              <w:rPr>
                <w:rFonts w:ascii="Arial" w:cs="Arial" w:eastAsia="Arial" w:hAnsi="Arial"/>
                <w:b/>
                <w:bCs/>
                <w:sz w:val="22"/>
                <w:szCs w:val="22"/>
              </w:rPr>
              <w:t xml:space="preserve">2</w:t>
            </w:r>
          </w:p>
        </w:tc>
        <w:tc>
          <w:tcPr>
            <w:tcW w:type="dxa" w:w="2000"/>
            <w:tcBorders>
              <w:top w:val="single" w:color="DDDDDD" w:sz="2"/>
              <w:left w:val="single" w:color="DDDDDD" w:sz="2"/>
              <w:bottom w:val="single" w:color="DDDDDD" w:sz="2"/>
              <w:right w:val="single" w:color="DDDDDD" w:sz="2"/>
            </w:tcBorders>
            <w:shd w:fill="F1F5F9" w:val="clear"/>
            <w:tcMar>
              <w:top w:type="dxa" w:w="90"/>
              <w:left w:type="dxa" w:w="90"/>
              <w:bottom w:type="dxa" w:w="90"/>
              <w:right w:type="dxa" w:w="90"/>
            </w:tcMar>
          </w:tcPr>
          <w:p>
            <w:pPr>
              <w:spacing w:after="0"/>
            </w:pPr>
            <w:r>
              <w:rPr>
                <w:rFonts w:ascii="Arial" w:cs="Arial" w:eastAsia="Arial" w:hAnsi="Arial"/>
                <w:b/>
                <w:bCs/>
                <w:sz w:val="22"/>
                <w:szCs w:val="22"/>
              </w:rPr>
              <w:t xml:space="preserve">Zoho Desk</w:t>
            </w:r>
          </w:p>
        </w:tc>
        <w:tc>
          <w:tcPr>
            <w:tcW w:type="dxa" w:w="4320"/>
            <w:tcBorders>
              <w:top w:val="single" w:color="DDDDDD" w:sz="2"/>
              <w:left w:val="single" w:color="DDDDDD" w:sz="2"/>
              <w:bottom w:val="single" w:color="DDDDDD" w:sz="2"/>
              <w:right w:val="single" w:color="DDDDDD" w:sz="2"/>
            </w:tcBorders>
            <w:shd w:fill="F1F5F9" w:val="clear"/>
            <w:tcMar>
              <w:top w:type="dxa" w:w="90"/>
              <w:left w:type="dxa" w:w="90"/>
              <w:bottom w:type="dxa" w:w="90"/>
              <w:right w:type="dxa" w:w="90"/>
            </w:tcMar>
          </w:tcPr>
          <w:p>
            <w:pPr>
              <w:spacing w:after="0"/>
            </w:pPr>
            <w:r>
              <w:rPr>
                <w:rFonts w:ascii="Arial" w:cs="Arial" w:eastAsia="Arial" w:hAnsi="Arial"/>
                <w:sz w:val="22"/>
                <w:szCs w:val="22"/>
              </w:rPr>
              <w:t xml:space="preserve">Confirm: (a) US data residency documentable in BAA, (b) exact Enterprise per-agent pricing, (c) Linear integration path via Zoho Flow.</w:t>
            </w:r>
          </w:p>
        </w:tc>
        <w:tc>
          <w:tcPr>
            <w:tcW w:type="dxa" w:w="2640"/>
            <w:tcBorders>
              <w:top w:val="single" w:color="DDDDDD" w:sz="2"/>
              <w:left w:val="single" w:color="DDDDDD" w:sz="2"/>
              <w:bottom w:val="single" w:color="DDDDDD" w:sz="2"/>
              <w:right w:val="single" w:color="DDDDDD" w:sz="2"/>
            </w:tcBorders>
            <w:shd w:fill="FFFBEB" w:val="clear"/>
            <w:tcMar>
              <w:top w:type="dxa" w:w="90"/>
              <w:left w:type="dxa" w:w="90"/>
              <w:bottom w:type="dxa" w:w="90"/>
              <w:right w:type="dxa" w:w="90"/>
            </w:tcMar>
          </w:tcPr>
          <w:p>
            <w:pPr>
              <w:spacing w:after="0"/>
            </w:pPr>
            <w:r>
              <w:rPr>
                <w:rFonts w:ascii="Arial" w:cs="Arial" w:eastAsia="Arial" w:hAnsi="Arial"/>
                <w:color w:val="92400E"/>
                <w:sz w:val="22"/>
                <w:szCs w:val="22"/>
              </w:rPr>
              <w:t xml:space="preserve">Follow-up sent to Zoho sales</w:t>
            </w:r>
          </w:p>
        </w:tc>
      </w:tr>
      <w:tr>
        <w:tc>
          <w:tcPr>
            <w:tcW w:type="dxa" w:w="400"/>
            <w:tcBorders>
              <w:top w:val="single" w:color="DDDDDD" w:sz="2"/>
              <w:left w:val="single" w:color="DDDDDD" w:sz="2"/>
              <w:bottom w:val="single" w:color="DDDDDD" w:sz="2"/>
              <w:right w:val="single" w:color="DDDDDD" w:sz="2"/>
            </w:tcBorders>
            <w:shd w:fill="FFFFFF" w:val="clear"/>
            <w:tcMar>
              <w:top w:type="dxa" w:w="90"/>
              <w:left w:type="dxa" w:w="80"/>
              <w:bottom w:type="dxa" w:w="90"/>
              <w:right w:type="dxa" w:w="80"/>
            </w:tcMar>
          </w:tcPr>
          <w:p>
            <w:pPr>
              <w:spacing w:after="0"/>
              <w:jc w:val="center"/>
            </w:pPr>
            <w:r>
              <w:rPr>
                <w:rFonts w:ascii="Arial" w:cs="Arial" w:eastAsia="Arial" w:hAnsi="Arial"/>
                <w:b/>
                <w:bCs/>
                <w:sz w:val="22"/>
                <w:szCs w:val="22"/>
              </w:rPr>
              <w:t xml:space="preserve">3</w:t>
            </w:r>
          </w:p>
        </w:tc>
        <w:tc>
          <w:tcPr>
            <w:tcW w:type="dxa" w:w="2000"/>
            <w:tcBorders>
              <w:top w:val="single" w:color="DDDDDD" w:sz="2"/>
              <w:left w:val="single" w:color="DDDDDD" w:sz="2"/>
              <w:bottom w:val="single" w:color="DDDDDD" w:sz="2"/>
              <w:right w:val="single" w:color="DDDDDD" w:sz="2"/>
            </w:tcBorders>
            <w:shd w:fill="FFFFFF" w:val="clear"/>
            <w:tcMar>
              <w:top w:type="dxa" w:w="90"/>
              <w:left w:type="dxa" w:w="90"/>
              <w:bottom w:type="dxa" w:w="90"/>
              <w:right w:type="dxa" w:w="90"/>
            </w:tcMar>
          </w:tcPr>
          <w:p>
            <w:pPr>
              <w:spacing w:after="0"/>
            </w:pPr>
            <w:r>
              <w:rPr>
                <w:rFonts w:ascii="Arial" w:cs="Arial" w:eastAsia="Arial" w:hAnsi="Arial"/>
                <w:b/>
                <w:bCs/>
                <w:sz w:val="22"/>
                <w:szCs w:val="22"/>
              </w:rPr>
              <w:t xml:space="preserve">Freshdesk</w:t>
            </w:r>
          </w:p>
        </w:tc>
        <w:tc>
          <w:tcPr>
            <w:tcW w:type="dxa" w:w="4320"/>
            <w:tcBorders>
              <w:top w:val="single" w:color="DDDDDD" w:sz="2"/>
              <w:left w:val="single" w:color="DDDDDD" w:sz="2"/>
              <w:bottom w:val="single" w:color="DDDDDD" w:sz="2"/>
              <w:right w:val="single" w:color="DDDDDD" w:sz="2"/>
            </w:tcBorders>
            <w:shd w:fill="FFFFFF" w:val="clear"/>
            <w:tcMar>
              <w:top w:type="dxa" w:w="90"/>
              <w:left w:type="dxa" w:w="90"/>
              <w:bottom w:type="dxa" w:w="90"/>
              <w:right w:type="dxa" w:w="90"/>
            </w:tcMar>
          </w:tcPr>
          <w:p>
            <w:pPr>
              <w:spacing w:after="0"/>
            </w:pPr>
            <w:r>
              <w:rPr>
                <w:rFonts w:ascii="Arial" w:cs="Arial" w:eastAsia="Arial" w:hAnsi="Arial"/>
                <w:sz w:val="22"/>
                <w:szCs w:val="22"/>
              </w:rPr>
              <w:t xml:space="preserve">HIPAA BAA confirmed by Freshworks security team. Pending: (a) which tier requires BAA (Pro vs. Enterprise?), (b) whether Freddy AI subprocessors are explicitly covered under the BAA.</w:t>
            </w:r>
          </w:p>
        </w:tc>
        <w:tc>
          <w:tcPr>
            <w:tcW w:type="dxa" w:w="2640"/>
            <w:tcBorders>
              <w:top w:val="single" w:color="DDDDDD" w:sz="2"/>
              <w:left w:val="single" w:color="DDDDDD" w:sz="2"/>
              <w:bottom w:val="single" w:color="DDDDDD" w:sz="2"/>
              <w:right w:val="single" w:color="DDDDDD" w:sz="2"/>
            </w:tcBorders>
            <w:shd w:fill="FEF3C7" w:val="clear"/>
            <w:tcMar>
              <w:top w:type="dxa" w:w="90"/>
              <w:left w:type="dxa" w:w="90"/>
              <w:bottom w:type="dxa" w:w="90"/>
              <w:right w:type="dxa" w:w="90"/>
            </w:tcMar>
          </w:tcPr>
          <w:p>
            <w:pPr>
              <w:spacing w:after="0"/>
            </w:pPr>
            <w:r>
              <w:rPr>
                <w:rFonts w:ascii="Arial" w:cs="Arial" w:eastAsia="Arial" w:hAnsi="Arial"/>
                <w:color w:val="92400E"/>
                <w:sz w:val="22"/>
                <w:szCs w:val="22"/>
              </w:rPr>
              <w:t xml:space="preserve">Follow-up to be sent to Freshdesk sales</w:t>
            </w:r>
          </w:p>
        </w:tc>
      </w:tr>
      <w:tr>
        <w:tc>
          <w:tcPr>
            <w:tcW w:type="dxa" w:w="400"/>
            <w:tcBorders>
              <w:top w:val="single" w:color="DDDDDD" w:sz="2"/>
              <w:left w:val="single" w:color="DDDDDD" w:sz="2"/>
              <w:bottom w:val="single" w:color="DDDDDD" w:sz="2"/>
              <w:right w:val="single" w:color="DDDDDD" w:sz="2"/>
            </w:tcBorders>
            <w:shd w:fill="F1F5F9" w:val="clear"/>
            <w:tcMar>
              <w:top w:type="dxa" w:w="90"/>
              <w:left w:type="dxa" w:w="80"/>
              <w:bottom w:type="dxa" w:w="90"/>
              <w:right w:type="dxa" w:w="80"/>
            </w:tcMar>
          </w:tcPr>
          <w:p>
            <w:pPr>
              <w:spacing w:after="0"/>
              <w:jc w:val="center"/>
            </w:pPr>
            <w:r>
              <w:rPr>
                <w:rFonts w:ascii="Arial" w:cs="Arial" w:eastAsia="Arial" w:hAnsi="Arial"/>
                <w:b/>
                <w:bCs/>
                <w:sz w:val="22"/>
                <w:szCs w:val="22"/>
              </w:rPr>
              <w:t xml:space="preserve">4</w:t>
            </w:r>
          </w:p>
        </w:tc>
        <w:tc>
          <w:tcPr>
            <w:tcW w:type="dxa" w:w="2000"/>
            <w:tcBorders>
              <w:top w:val="single" w:color="DDDDDD" w:sz="2"/>
              <w:left w:val="single" w:color="DDDDDD" w:sz="2"/>
              <w:bottom w:val="single" w:color="DDDDDD" w:sz="2"/>
              <w:right w:val="single" w:color="DDDDDD" w:sz="2"/>
            </w:tcBorders>
            <w:shd w:fill="F1F5F9" w:val="clear"/>
            <w:tcMar>
              <w:top w:type="dxa" w:w="90"/>
              <w:left w:type="dxa" w:w="90"/>
              <w:bottom w:type="dxa" w:w="90"/>
              <w:right w:type="dxa" w:w="90"/>
            </w:tcMar>
          </w:tcPr>
          <w:p>
            <w:pPr>
              <w:spacing w:after="0"/>
            </w:pPr>
            <w:r>
              <w:rPr>
                <w:rFonts w:ascii="Arial" w:cs="Arial" w:eastAsia="Arial" w:hAnsi="Arial"/>
                <w:b/>
                <w:bCs/>
                <w:sz w:val="22"/>
                <w:szCs w:val="22"/>
              </w:rPr>
              <w:t xml:space="preserve">Linear Asks</w:t>
            </w:r>
          </w:p>
        </w:tc>
        <w:tc>
          <w:tcPr>
            <w:tcW w:type="dxa" w:w="4320"/>
            <w:tcBorders>
              <w:top w:val="single" w:color="DDDDDD" w:sz="2"/>
              <w:left w:val="single" w:color="DDDDDD" w:sz="2"/>
              <w:bottom w:val="single" w:color="DDDDDD" w:sz="2"/>
              <w:right w:val="single" w:color="DDDDDD" w:sz="2"/>
            </w:tcBorders>
            <w:shd w:fill="F1F5F9" w:val="clear"/>
            <w:tcMar>
              <w:top w:type="dxa" w:w="90"/>
              <w:left w:type="dxa" w:w="90"/>
              <w:bottom w:type="dxa" w:w="90"/>
              <w:right w:type="dxa" w:w="90"/>
            </w:tcMar>
          </w:tcPr>
          <w:p>
            <w:pPr>
              <w:spacing w:after="0"/>
            </w:pPr>
            <w:r>
              <w:rPr>
                <w:rFonts w:ascii="Arial" w:cs="Arial" w:eastAsia="Arial" w:hAnsi="Arial"/>
                <w:sz w:val="22"/>
                <w:szCs w:val="22"/>
              </w:rPr>
              <w:t xml:space="preserve">Confirm Linear's HIPAA/BAA status before storing any customer data (name, email) in Asks fields.</w:t>
            </w:r>
          </w:p>
        </w:tc>
        <w:tc>
          <w:tcPr>
            <w:tcW w:type="dxa" w:w="2640"/>
            <w:tcBorders>
              <w:top w:val="single" w:color="DDDDDD" w:sz="2"/>
              <w:left w:val="single" w:color="DDDDDD" w:sz="2"/>
              <w:bottom w:val="single" w:color="DDDDDD" w:sz="2"/>
              <w:right w:val="single" w:color="DDDDDD" w:sz="2"/>
            </w:tcBorders>
            <w:shd w:fill="FFFBEB" w:val="clear"/>
            <w:tcMar>
              <w:top w:type="dxa" w:w="90"/>
              <w:left w:type="dxa" w:w="90"/>
              <w:bottom w:type="dxa" w:w="90"/>
              <w:right w:type="dxa" w:w="90"/>
            </w:tcMar>
          </w:tcPr>
          <w:p>
            <w:pPr>
              <w:spacing w:after="0"/>
            </w:pPr>
            <w:r>
              <w:rPr>
                <w:rFonts w:ascii="Arial" w:cs="Arial" w:eastAsia="Arial" w:hAnsi="Arial"/>
                <w:color w:val="92400E"/>
                <w:sz w:val="22"/>
                <w:szCs w:val="22"/>
              </w:rPr>
              <w:t xml:space="preserve">Contact Linear sales or legal</w:t>
            </w:r>
          </w:p>
        </w:tc>
      </w:tr>
    </w:tbl>
    <w:p>
      <w:r>
        <w:br w:type="page"/>
      </w:r>
    </w:p>
    <w:p>
      <w:pPr>
        <w:pStyle w:val="Heading1"/>
        <w:pBdr>
          <w:bottom w:val="single" w:color="0EA5E9" w:sz="8" w:space="2"/>
        </w:pBdr>
        <w:spacing w:after="160" w:before="360"/>
      </w:pPr>
      <w:r>
        <w:rPr>
          <w:rFonts w:ascii="Arial" w:cs="Arial" w:eastAsia="Arial" w:hAnsi="Arial"/>
          <w:b/>
          <w:bCs/>
          <w:sz w:val="32"/>
          <w:szCs w:val="32"/>
        </w:rPr>
        <w:t xml:space="preserve">Next Steps</w:t>
      </w:r>
    </w:p>
    <w:p>
      <w:pPr>
        <w:spacing w:after="140" w:line="280" w:lineRule="auto"/>
      </w:pPr>
      <w:r>
        <w:rPr>
          <w:rFonts w:ascii="Arial" w:cs="Arial" w:eastAsia="Arial" w:hAnsi="Arial"/>
          <w:sz w:val="22"/>
          <w:szCs w:val="22"/>
        </w:rPr>
        <w:t xml:space="preserve">Upon resolution of open items and internal approval of this recommendation, the following steps are proposed:</w:t>
      </w:r>
    </w:p>
    <w:p>
      <w:pPr>
        <w:spacing w:after="8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Receive DevRev AI subprocessor list and confirm BAA coverage for CX Agent and Turing AI. If confirmed, execute the BAA with legal@devrev.ai and begin the 45-day trial.</w:t>
      </w:r>
    </w:p>
    <w:p>
      <w:pPr>
        <w:pStyle w:val="ListParagraph"/>
        <w:numPr>
          <w:ilvl w:val="0"/>
          <w:numId w:val="2"/>
        </w:numPr>
        <w:spacing w:after="80"/>
      </w:pPr>
      <w:r>
        <w:rPr>
          <w:rFonts w:ascii="Arial" w:cs="Arial" w:eastAsia="Arial" w:hAnsi="Arial"/>
          <w:sz w:val="22"/>
          <w:szCs w:val="22"/>
        </w:rPr>
        <w:t xml:space="preserve">Build the Fastify backend integration: POST /support/ticket route following the existing POST /help/message pattern, with full context enrichment (workspaceId, customerId, accountTier, dashboard path, conversation transcript) and PII/PHI stripping via detectSensitiveContent().</w:t>
      </w:r>
    </w:p>
    <w:p>
      <w:pPr>
        <w:pStyle w:val="ListParagraph"/>
        <w:numPr>
          <w:ilvl w:val="0"/>
          <w:numId w:val="2"/>
        </w:numPr>
        <w:spacing w:after="80"/>
      </w:pPr>
      <w:r>
        <w:rPr>
          <w:rFonts w:ascii="Arial" w:cs="Arial" w:eastAsia="Arial" w:hAnsi="Arial"/>
          <w:sz w:val="22"/>
          <w:szCs w:val="22"/>
        </w:rPr>
        <w:t xml:space="preserve">Update the 15 existing Linear tickets (AI-1358 through AI-1372), currently scoped for Plain's architecture, to reflect DevRev's API, CX Agent configuration, and PLuG engineering workflow.</w:t>
      </w:r>
    </w:p>
    <w:p>
      <w:pPr>
        <w:pStyle w:val="ListParagraph"/>
        <w:numPr>
          <w:ilvl w:val="0"/>
          <w:numId w:val="2"/>
        </w:numPr>
        <w:spacing w:after="80"/>
      </w:pPr>
      <w:r>
        <w:rPr>
          <w:rFonts w:ascii="Arial" w:cs="Arial" w:eastAsia="Arial" w:hAnsi="Arial"/>
          <w:sz w:val="22"/>
          <w:szCs w:val="22"/>
        </w:rPr>
        <w:t xml:space="preserve">Configure DevRev workspace: set up inboxes, CX Agent knowledge base (Graphium help content), Turing AI, routing automation, and webhook events for dashboard status sync.</w:t>
      </w:r>
    </w:p>
    <w:p>
      <w:pPr>
        <w:pStyle w:val="ListParagraph"/>
        <w:numPr>
          <w:ilvl w:val="0"/>
          <w:numId w:val="2"/>
        </w:numPr>
        <w:spacing w:after="80"/>
      </w:pPr>
      <w:r>
        <w:rPr>
          <w:rFonts w:ascii="Arial" w:cs="Arial" w:eastAsia="Arial" w:hAnsi="Arial"/>
          <w:sz w:val="22"/>
          <w:szCs w:val="22"/>
        </w:rPr>
        <w:t xml:space="preserve">Validate the full two-channel workflow with synthetic (non-PHI) data: dashboard escalation path via API and Mintlify docs email path.</w:t>
      </w:r>
    </w:p>
    <w:p>
      <w:pPr>
        <w:pStyle w:val="ListParagraph"/>
        <w:numPr>
          <w:ilvl w:val="0"/>
          <w:numId w:val="2"/>
        </w:numPr>
        <w:spacing w:after="80"/>
      </w:pPr>
      <w:r>
        <w:rPr>
          <w:rFonts w:ascii="Arial" w:cs="Arial" w:eastAsia="Arial" w:hAnsi="Arial"/>
          <w:sz w:val="22"/>
          <w:szCs w:val="22"/>
        </w:rPr>
        <w:t xml:space="preserve">If DevRev BAA cannot be confirmed, initiate Zoho Desk BAA process in parallel and begin integration with Zoho's REST API.</w:t>
      </w:r>
    </w:p>
    <w:p>
      <w:pPr>
        <w:pStyle w:val="ListParagraph"/>
        <w:numPr>
          <w:ilvl w:val="0"/>
          <w:numId w:val="2"/>
        </w:numPr>
        <w:spacing w:after="80"/>
      </w:pPr>
      <w:r>
        <w:rPr>
          <w:rFonts w:ascii="Arial" w:cs="Arial" w:eastAsia="Arial" w:hAnsi="Arial"/>
          <w:sz w:val="22"/>
          <w:szCs w:val="22"/>
        </w:rPr>
        <w:t xml:space="preserve">Pair primary platform with Linear Asks for engineering demand aggregation, pending Linear BAA confirmation.</w:t>
      </w:r>
    </w:p>
    <w:p>
      <w:pPr>
        <w:spacing w:after="80"/>
      </w:pPr>
      <w:r>
        <w:rPr>
          <w:rFonts w:ascii="Arial" w:cs="Arial" w:eastAsia="Arial" w:hAnsi="Arial"/>
          <w:sz w:val="22"/>
          <w:szCs w:val="22"/>
        </w:rPr>
        <w:t xml:space="preserve"/>
      </w:r>
    </w:p>
    <w:p>
      <w:pPr>
        <w:spacing w:after="140" w:line="280" w:lineRule="auto"/>
      </w:pPr>
      <w:r>
        <w:rPr>
          <w:rFonts w:ascii="Arial" w:cs="Arial" w:eastAsia="Arial" w:hAnsi="Arial"/>
          <w:sz w:val="22"/>
          <w:szCs w:val="22"/>
        </w:rPr>
        <w:t xml:space="preserve">The full platform comparison matrix is included in the appendix (next page) for reference.</w:t>
      </w:r>
    </w:p>
    <w:p>
      <w:pPr>
        <w:sectPr>
          <w:footerReference w:type="default" r:id="rId7"/>
          <w:pgSz w:w="12240" w:h="15840" w:orient="portrait"/>
          <w:pgMar w:top="1080" w:right="1440" w:bottom="1080" w:left="1440" w:header="708" w:footer="708" w:gutter="0"/>
          <w:pgNumType/>
          <w:docGrid w:linePitch="360"/>
        </w:sectPr>
      </w:pPr>
    </w:p>
    <w:p>
      <w:pPr>
        <w:pStyle w:val="Heading1"/>
        <w:pBdr>
          <w:bottom w:val="single" w:color="0EA5E9" w:sz="8" w:space="2"/>
        </w:pBdr>
        <w:spacing w:after="160" w:before="360"/>
      </w:pPr>
      <w:r>
        <w:rPr>
          <w:rFonts w:ascii="Arial" w:cs="Arial" w:eastAsia="Arial" w:hAnsi="Arial"/>
          <w:b/>
          <w:bCs/>
          <w:sz w:val="32"/>
          <w:szCs w:val="32"/>
        </w:rPr>
        <w:t xml:space="preserve">Appendix: Full Platform Comparison Matrix</w:t>
      </w:r>
    </w:p>
    <w:p>
      <w:pPr>
        <w:spacing w:after="140" w:line="280" w:lineRule="auto"/>
      </w:pPr>
      <w:r>
        <w:rPr>
          <w:rFonts w:ascii="Arial" w:cs="Arial" w:eastAsia="Arial" w:hAnsi="Arial"/>
          <w:sz w:val="22"/>
          <w:szCs w:val="22"/>
        </w:rPr>
        <w:t xml:space="preserve">All seven platforms evaluated, scored across compliance, AI capabilities, pricing, integration, and support features. Color coding: green = confirmed/positive, yellow = needs clarification, red = not available/risk, blue = informational, gray = unknown or eliminated.</w:t>
      </w:r>
    </w:p>
    <w:p>
      <w:pPr>
        <w:spacing w:after="80"/>
      </w:pPr>
      <w:r>
        <w:rPr>
          <w:rFonts w:ascii="Arial" w:cs="Arial" w:eastAsia="Arial" w:hAnsi="Arial"/>
          <w:sz w:val="22"/>
          <w:szCs w:val="22"/>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160"/>
        <w:gridCol w:w="1646"/>
        <w:gridCol w:w="1646"/>
        <w:gridCol w:w="1646"/>
        <w:gridCol w:w="1646"/>
        <w:gridCol w:w="1646"/>
        <w:gridCol w:w="1646"/>
        <w:gridCol w:w="1644"/>
      </w:tblGrid>
      <w:tr>
        <w:trPr>
          <w:tblHeader/>
        </w:trPr>
        <w:tc>
          <w:tcPr>
            <w:tcW w:type="dxa" w:w="2160"/>
            <w:tcBorders>
              <w:top w:val="single" w:color="333333" w:sz="2"/>
              <w:left w:val="single" w:color="333333" w:sz="2"/>
              <w:bottom w:val="single" w:color="333333" w:sz="2"/>
              <w:right w:val="single" w:color="333333" w:sz="2"/>
            </w:tcBorders>
            <w:shd w:fill="1E3A5F" w:val="clear"/>
            <w:tcMar>
              <w:top w:type="dxa" w:w="90"/>
              <w:left w:type="dxa" w:w="90"/>
              <w:bottom w:type="dxa" w:w="90"/>
              <w:right w:type="dxa" w:w="90"/>
            </w:tcMar>
            <w:vAlign w:val="center"/>
          </w:tcPr>
          <w:p>
            <w:pPr>
              <w:spacing w:after="0"/>
              <w:jc w:val="center"/>
            </w:pPr>
            <w:r>
              <w:rPr>
                <w:rFonts w:ascii="Arial" w:cs="Arial" w:eastAsia="Arial" w:hAnsi="Arial"/>
                <w:b/>
                <w:bCs/>
                <w:color w:val="FFFFFF"/>
                <w:sz w:val="18"/>
                <w:szCs w:val="18"/>
              </w:rPr>
              <w:t xml:space="preserve"/>
            </w:r>
          </w:p>
        </w:tc>
        <w:tc>
          <w:tcPr>
            <w:tcW w:type="dxa" w:w="1646"/>
            <w:tcBorders>
              <w:top w:val="single" w:color="333333" w:sz="2"/>
              <w:left w:val="single" w:color="333333" w:sz="2"/>
              <w:bottom w:val="single" w:color="333333" w:sz="2"/>
              <w:right w:val="single" w:color="333333" w:sz="2"/>
            </w:tcBorders>
            <w:shd w:fill="2D2D2D" w:val="clear"/>
            <w:tcMar>
              <w:top w:type="dxa" w:w="90"/>
              <w:left w:type="dxa" w:w="90"/>
              <w:bottom w:type="dxa" w:w="90"/>
              <w:right w:type="dxa" w:w="90"/>
            </w:tcMar>
            <w:vAlign w:val="center"/>
          </w:tcPr>
          <w:p>
            <w:pPr>
              <w:spacing w:after="0"/>
              <w:jc w:val="center"/>
            </w:pPr>
            <w:r>
              <w:rPr>
                <w:rFonts w:ascii="Arial" w:cs="Arial" w:eastAsia="Arial" w:hAnsi="Arial"/>
                <w:b/>
                <w:bCs/>
                <w:color w:val="FFFFFF"/>
                <w:sz w:val="18"/>
                <w:szCs w:val="18"/>
              </w:rPr>
              <w:t xml:space="preserve">Plain</w:t>
            </w:r>
          </w:p>
        </w:tc>
        <w:tc>
          <w:tcPr>
            <w:tcW w:type="dxa" w:w="1646"/>
            <w:tcBorders>
              <w:top w:val="single" w:color="333333" w:sz="2"/>
              <w:left w:val="single" w:color="333333" w:sz="2"/>
              <w:bottom w:val="single" w:color="333333" w:sz="2"/>
              <w:right w:val="single" w:color="333333" w:sz="2"/>
            </w:tcBorders>
            <w:shd w:fill="0C4A6E" w:val="clear"/>
            <w:tcMar>
              <w:top w:type="dxa" w:w="90"/>
              <w:left w:type="dxa" w:w="90"/>
              <w:bottom w:type="dxa" w:w="90"/>
              <w:right w:type="dxa" w:w="90"/>
            </w:tcMar>
            <w:vAlign w:val="center"/>
          </w:tcPr>
          <w:p>
            <w:pPr>
              <w:spacing w:after="0"/>
              <w:jc w:val="center"/>
            </w:pPr>
            <w:r>
              <w:rPr>
                <w:rFonts w:ascii="Arial" w:cs="Arial" w:eastAsia="Arial" w:hAnsi="Arial"/>
                <w:b/>
                <w:bCs/>
                <w:color w:val="FFFFFF"/>
                <w:sz w:val="18"/>
                <w:szCs w:val="18"/>
              </w:rPr>
              <w:t xml:space="preserve">DevRev</w:t>
            </w:r>
          </w:p>
        </w:tc>
        <w:tc>
          <w:tcPr>
            <w:tcW w:type="dxa" w:w="1646"/>
            <w:tcBorders>
              <w:top w:val="single" w:color="333333" w:sz="2"/>
              <w:left w:val="single" w:color="333333" w:sz="2"/>
              <w:bottom w:val="single" w:color="333333" w:sz="2"/>
              <w:right w:val="single" w:color="333333" w:sz="2"/>
            </w:tcBorders>
            <w:shd w:fill="7F1D1D" w:val="clear"/>
            <w:tcMar>
              <w:top w:type="dxa" w:w="90"/>
              <w:left w:type="dxa" w:w="90"/>
              <w:bottom w:type="dxa" w:w="90"/>
              <w:right w:type="dxa" w:w="90"/>
            </w:tcMar>
            <w:vAlign w:val="center"/>
          </w:tcPr>
          <w:p>
            <w:pPr>
              <w:spacing w:after="0"/>
              <w:jc w:val="center"/>
            </w:pPr>
            <w:r>
              <w:rPr>
                <w:rFonts w:ascii="Arial" w:cs="Arial" w:eastAsia="Arial" w:hAnsi="Arial"/>
                <w:b/>
                <w:bCs/>
                <w:color w:val="FFFFFF"/>
                <w:sz w:val="18"/>
                <w:szCs w:val="18"/>
              </w:rPr>
              <w:t xml:space="preserve">Zoho Desk</w:t>
            </w:r>
          </w:p>
        </w:tc>
        <w:tc>
          <w:tcPr>
            <w:tcW w:type="dxa" w:w="1646"/>
            <w:tcBorders>
              <w:top w:val="single" w:color="333333" w:sz="2"/>
              <w:left w:val="single" w:color="333333" w:sz="2"/>
              <w:bottom w:val="single" w:color="333333" w:sz="2"/>
              <w:right w:val="single" w:color="333333" w:sz="2"/>
            </w:tcBorders>
            <w:shd w:fill="2E1065" w:val="clear"/>
            <w:tcMar>
              <w:top w:type="dxa" w:w="90"/>
              <w:left w:type="dxa" w:w="90"/>
              <w:bottom w:type="dxa" w:w="90"/>
              <w:right w:type="dxa" w:w="90"/>
            </w:tcMar>
            <w:vAlign w:val="center"/>
          </w:tcPr>
          <w:p>
            <w:pPr>
              <w:spacing w:after="0"/>
              <w:jc w:val="center"/>
            </w:pPr>
            <w:r>
              <w:rPr>
                <w:rFonts w:ascii="Arial" w:cs="Arial" w:eastAsia="Arial" w:hAnsi="Arial"/>
                <w:b/>
                <w:bCs/>
                <w:color w:val="FFFFFF"/>
                <w:sz w:val="18"/>
                <w:szCs w:val="18"/>
              </w:rPr>
              <w:t xml:space="preserve">Chatwoot</w:t>
            </w:r>
          </w:p>
        </w:tc>
        <w:tc>
          <w:tcPr>
            <w:tcW w:type="dxa" w:w="1646"/>
            <w:tcBorders>
              <w:top w:val="single" w:color="333333" w:sz="2"/>
              <w:left w:val="single" w:color="333333" w:sz="2"/>
              <w:bottom w:val="single" w:color="333333" w:sz="2"/>
              <w:right w:val="single" w:color="333333" w:sz="2"/>
            </w:tcBorders>
            <w:shd w:fill="0C2A3E" w:val="clear"/>
            <w:tcMar>
              <w:top w:type="dxa" w:w="90"/>
              <w:left w:type="dxa" w:w="90"/>
              <w:bottom w:type="dxa" w:w="90"/>
              <w:right w:type="dxa" w:w="90"/>
            </w:tcMar>
            <w:vAlign w:val="center"/>
          </w:tcPr>
          <w:p>
            <w:pPr>
              <w:spacing w:after="0"/>
              <w:jc w:val="center"/>
            </w:pPr>
            <w:r>
              <w:rPr>
                <w:rFonts w:ascii="Arial" w:cs="Arial" w:eastAsia="Arial" w:hAnsi="Arial"/>
                <w:b/>
                <w:bCs/>
                <w:color w:val="FFFFFF"/>
                <w:sz w:val="18"/>
                <w:szCs w:val="18"/>
              </w:rPr>
              <w:t xml:space="preserve">Intercom</w:t>
            </w:r>
          </w:p>
        </w:tc>
        <w:tc>
          <w:tcPr>
            <w:tcW w:type="dxa" w:w="1646"/>
            <w:tcBorders>
              <w:top w:val="single" w:color="333333" w:sz="2"/>
              <w:left w:val="single" w:color="333333" w:sz="2"/>
              <w:bottom w:val="single" w:color="333333" w:sz="2"/>
              <w:right w:val="single" w:color="333333" w:sz="2"/>
            </w:tcBorders>
            <w:shd w:fill="1E1B4B" w:val="clear"/>
            <w:tcMar>
              <w:top w:type="dxa" w:w="90"/>
              <w:left w:type="dxa" w:w="90"/>
              <w:bottom w:type="dxa" w:w="90"/>
              <w:right w:type="dxa" w:w="90"/>
            </w:tcMar>
            <w:vAlign w:val="center"/>
          </w:tcPr>
          <w:p>
            <w:pPr>
              <w:spacing w:after="0"/>
              <w:jc w:val="center"/>
            </w:pPr>
            <w:r>
              <w:rPr>
                <w:rFonts w:ascii="Arial" w:cs="Arial" w:eastAsia="Arial" w:hAnsi="Arial"/>
                <w:b/>
                <w:bCs/>
                <w:color w:val="FFFFFF"/>
                <w:sz w:val="18"/>
                <w:szCs w:val="18"/>
              </w:rPr>
              <w:t xml:space="preserve">Linear Asks</w:t>
            </w:r>
          </w:p>
        </w:tc>
        <w:tc>
          <w:tcPr>
            <w:tcW w:type="dxa" w:w="1644"/>
            <w:tcBorders>
              <w:top w:val="single" w:color="333333" w:sz="2"/>
              <w:left w:val="single" w:color="333333" w:sz="2"/>
              <w:bottom w:val="single" w:color="333333" w:sz="2"/>
              <w:right w:val="single" w:color="333333" w:sz="2"/>
            </w:tcBorders>
            <w:shd w:fill="022C22" w:val="clear"/>
            <w:tcMar>
              <w:top w:type="dxa" w:w="90"/>
              <w:left w:type="dxa" w:w="90"/>
              <w:bottom w:type="dxa" w:w="90"/>
              <w:right w:type="dxa" w:w="90"/>
            </w:tcMar>
            <w:vAlign w:val="center"/>
          </w:tcPr>
          <w:p>
            <w:pPr>
              <w:spacing w:after="0"/>
              <w:jc w:val="center"/>
            </w:pPr>
            <w:r>
              <w:rPr>
                <w:rFonts w:ascii="Arial" w:cs="Arial" w:eastAsia="Arial" w:hAnsi="Arial"/>
                <w:b/>
                <w:bCs/>
                <w:color w:val="FFFFFF"/>
                <w:sz w:val="18"/>
                <w:szCs w:val="18"/>
              </w:rPr>
              <w:t xml:space="preserve">Freshdesk</w:t>
            </w:r>
          </w:p>
        </w:tc>
      </w:tr>
      <w:tr>
        <w:tc>
          <w:tcPr>
            <w:tcW w:type="dxa" w:w="13680"/>
            <w:gridSpan w:val="8"/>
            <w:tcBorders>
              <w:top w:val="single" w:color="333333" w:sz="2"/>
              <w:left w:val="single" w:color="333333" w:sz="2"/>
              <w:bottom w:val="single" w:color="333333" w:sz="2"/>
              <w:right w:val="single" w:color="333333" w:sz="2"/>
            </w:tcBorders>
            <w:shd w:fill="1E3A5F"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COMPLIANCE &amp; SECURITY</w:t>
            </w:r>
          </w:p>
        </w:tc>
      </w:tr>
      <w:tr>
        <w:tc>
          <w:tcPr>
            <w:tcW w:type="dxa" w:w="2160"/>
            <w:tcBorders>
              <w:top w:val="single" w:color="CCCCCC" w:sz="2"/>
              <w:left w:val="single" w:color="CCCCCC" w:sz="2"/>
              <w:bottom w:val="single" w:color="CCCCCC" w:sz="2"/>
              <w:right w:val="single" w:color="CCCCCC" w:sz="2"/>
            </w:tcBorders>
            <w:shd w:fill="F1F5F9" w:val="clear"/>
            <w:tcMar>
              <w:top w:type="dxa" w:w="60"/>
              <w:left w:type="dxa" w:w="90"/>
              <w:bottom w:type="dxa" w:w="60"/>
              <w:right w:type="dxa" w:w="90"/>
            </w:tcMar>
            <w:vAlign w:val="top"/>
          </w:tcPr>
          <w:p>
            <w:pPr>
              <w:spacing w:after="0"/>
            </w:pPr>
            <w:r>
              <w:rPr>
                <w:rFonts w:ascii="Arial" w:cs="Arial" w:eastAsia="Arial" w:hAnsi="Arial"/>
                <w:b/>
                <w:bCs/>
                <w:sz w:val="17"/>
                <w:szCs w:val="17"/>
              </w:rPr>
              <w:t xml:space="preserve">HIPAA BAA</w:t>
            </w:r>
          </w:p>
        </w:tc>
        <w:tc>
          <w:tcPr>
            <w:tcW w:type="dxa" w:w="1646"/>
            <w:tcBorders>
              <w:top w:val="single" w:color="CCCCCC" w:sz="2"/>
              <w:left w:val="single" w:color="CCCCCC" w:sz="2"/>
              <w:bottom w:val="single" w:color="CCCCCC" w:sz="2"/>
              <w:right w:val="single" w:color="CCCCCC" w:sz="2"/>
            </w:tcBorders>
            <w:shd w:fill="EEEEEE"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None
Eliminated</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Confirmed
BAA in progress</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Confirmed
by sales team</w:t>
            </w:r>
          </w:p>
        </w:tc>
        <w:tc>
          <w:tcPr>
            <w:tcW w:type="dxa" w:w="1646"/>
            <w:tcBorders>
              <w:top w:val="single" w:color="CCCCCC" w:sz="2"/>
              <w:left w:val="single" w:color="CCCCCC" w:sz="2"/>
              <w:bottom w:val="single" w:color="CCCCCC" w:sz="2"/>
              <w:right w:val="single" w:color="CCCCCC" w:sz="2"/>
            </w:tcBorders>
            <w:shd w:fill="FEF3C7"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Self-hosted
⚠ Cloud TBD</w:t>
            </w:r>
          </w:p>
        </w:tc>
        <w:tc>
          <w:tcPr>
            <w:tcW w:type="dxa" w:w="1646"/>
            <w:tcBorders>
              <w:top w:val="single" w:color="CCCCCC" w:sz="2"/>
              <w:left w:val="single" w:color="CCCCCC" w:sz="2"/>
              <w:bottom w:val="single" w:color="CCCCCC" w:sz="2"/>
              <w:right w:val="single" w:color="CCCCCC" w:sz="2"/>
            </w:tcBorders>
            <w:shd w:fill="FEF3C7"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Expert tier
only</w:t>
            </w:r>
          </w:p>
        </w:tc>
        <w:tc>
          <w:tcPr>
            <w:tcW w:type="dxa" w:w="1646"/>
            <w:tcBorders>
              <w:top w:val="single" w:color="CCCCCC" w:sz="2"/>
              <w:left w:val="single" w:color="CCCCCC" w:sz="2"/>
              <w:bottom w:val="single" w:color="CCCCCC" w:sz="2"/>
              <w:right w:val="single" w:color="CCCCCC" w:sz="2"/>
            </w:tcBorders>
            <w:shd w:fill="F9FAFB"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Not
documented</w:t>
            </w:r>
          </w:p>
        </w:tc>
        <w:tc>
          <w:tcPr>
            <w:tcW w:type="dxa" w:w="1644"/>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Confirmed
BAA available</w:t>
            </w:r>
          </w:p>
        </w:tc>
      </w:tr>
      <w:tr>
        <w:tc>
          <w:tcPr>
            <w:tcW w:type="dxa" w:w="2160"/>
            <w:tcBorders>
              <w:top w:val="single" w:color="CCCCCC" w:sz="2"/>
              <w:left w:val="single" w:color="CCCCCC" w:sz="2"/>
              <w:bottom w:val="single" w:color="CCCCCC" w:sz="2"/>
              <w:right w:val="single" w:color="CCCCCC" w:sz="2"/>
            </w:tcBorders>
            <w:shd w:fill="F1F5F9" w:val="clear"/>
            <w:tcMar>
              <w:top w:type="dxa" w:w="60"/>
              <w:left w:type="dxa" w:w="90"/>
              <w:bottom w:type="dxa" w:w="60"/>
              <w:right w:type="dxa" w:w="90"/>
            </w:tcMar>
            <w:vAlign w:val="top"/>
          </w:tcPr>
          <w:p>
            <w:pPr>
              <w:spacing w:after="0"/>
            </w:pPr>
            <w:r>
              <w:rPr>
                <w:rFonts w:ascii="Arial" w:cs="Arial" w:eastAsia="Arial" w:hAnsi="Arial"/>
                <w:b/>
                <w:bCs/>
                <w:sz w:val="17"/>
                <w:szCs w:val="17"/>
              </w:rPr>
              <w:t xml:space="preserve">AI Features Under BAA</w:t>
            </w:r>
          </w:p>
        </w:tc>
        <w:tc>
          <w:tcPr>
            <w:tcW w:type="dxa" w:w="1646"/>
            <w:tcBorders>
              <w:top w:val="single" w:color="CCCCCC" w:sz="2"/>
              <w:left w:val="single" w:color="CCCCCC" w:sz="2"/>
              <w:bottom w:val="single" w:color="CCCCCC" w:sz="2"/>
              <w:right w:val="single" w:color="CCCCCC" w:sz="2"/>
            </w:tcBorders>
            <w:shd w:fill="EEEEEE"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N/A</w:t>
            </w:r>
          </w:p>
        </w:tc>
        <w:tc>
          <w:tcPr>
            <w:tcW w:type="dxa" w:w="1646"/>
            <w:tcBorders>
              <w:top w:val="single" w:color="CCCCCC" w:sz="2"/>
              <w:left w:val="single" w:color="CCCCCC" w:sz="2"/>
              <w:bottom w:val="single" w:color="CCCCCC" w:sz="2"/>
              <w:right w:val="single" w:color="CCCCCC" w:sz="2"/>
            </w:tcBorders>
            <w:shd w:fill="FEF3C7"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Subprocessor
list pending</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Zia AI
covered</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Self-hosted
no 3rd-party AI</w:t>
            </w:r>
          </w:p>
        </w:tc>
        <w:tc>
          <w:tcPr>
            <w:tcW w:type="dxa" w:w="1646"/>
            <w:tcBorders>
              <w:top w:val="single" w:color="CCCCCC" w:sz="2"/>
              <w:left w:val="single" w:color="CCCCCC" w:sz="2"/>
              <w:bottom w:val="single" w:color="CCCCCC" w:sz="2"/>
              <w:right w:val="single" w:color="CCCCCC" w:sz="2"/>
            </w:tcBorders>
            <w:shd w:fill="FEF3C7"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OpenAI
subprocessor TBD</w:t>
            </w:r>
          </w:p>
        </w:tc>
        <w:tc>
          <w:tcPr>
            <w:tcW w:type="dxa" w:w="1646"/>
            <w:tcBorders>
              <w:top w:val="single" w:color="CCCCCC" w:sz="2"/>
              <w:left w:val="single" w:color="CCCCCC" w:sz="2"/>
              <w:bottom w:val="single" w:color="CCCCCC" w:sz="2"/>
              <w:right w:val="single" w:color="CCCCCC" w:sz="2"/>
            </w:tcBorders>
            <w:shd w:fill="EEEEEE"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N/A</w:t>
            </w:r>
          </w:p>
        </w:tc>
        <w:tc>
          <w:tcPr>
            <w:tcW w:type="dxa" w:w="1644"/>
            <w:tcBorders>
              <w:top w:val="single" w:color="CCCCCC" w:sz="2"/>
              <w:left w:val="single" w:color="CCCCCC" w:sz="2"/>
              <w:bottom w:val="single" w:color="CCCCCC" w:sz="2"/>
              <w:right w:val="single" w:color="CCCCCC" w:sz="2"/>
            </w:tcBorders>
            <w:shd w:fill="FEF3C7"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Freddy AI
subprocessors TBD</w:t>
            </w:r>
          </w:p>
        </w:tc>
      </w:tr>
      <w:tr>
        <w:tc>
          <w:tcPr>
            <w:tcW w:type="dxa" w:w="2160"/>
            <w:tcBorders>
              <w:top w:val="single" w:color="CCCCCC" w:sz="2"/>
              <w:left w:val="single" w:color="CCCCCC" w:sz="2"/>
              <w:bottom w:val="single" w:color="CCCCCC" w:sz="2"/>
              <w:right w:val="single" w:color="CCCCCC" w:sz="2"/>
            </w:tcBorders>
            <w:shd w:fill="F1F5F9" w:val="clear"/>
            <w:tcMar>
              <w:top w:type="dxa" w:w="60"/>
              <w:left w:type="dxa" w:w="90"/>
              <w:bottom w:type="dxa" w:w="60"/>
              <w:right w:type="dxa" w:w="90"/>
            </w:tcMar>
            <w:vAlign w:val="top"/>
          </w:tcPr>
          <w:p>
            <w:pPr>
              <w:spacing w:after="0"/>
            </w:pPr>
            <w:r>
              <w:rPr>
                <w:rFonts w:ascii="Arial" w:cs="Arial" w:eastAsia="Arial" w:hAnsi="Arial"/>
                <w:b/>
                <w:bCs/>
                <w:sz w:val="17"/>
                <w:szCs w:val="17"/>
              </w:rPr>
              <w:t xml:space="preserve">US Data Residency</w:t>
            </w:r>
          </w:p>
        </w:tc>
        <w:tc>
          <w:tcPr>
            <w:tcW w:type="dxa" w:w="1646"/>
            <w:tcBorders>
              <w:top w:val="single" w:color="CCCCCC" w:sz="2"/>
              <w:left w:val="single" w:color="CCCCCC" w:sz="2"/>
              <w:bottom w:val="single" w:color="CCCCCC" w:sz="2"/>
              <w:right w:val="single" w:color="CCCCCC" w:sz="2"/>
            </w:tcBorders>
            <w:shd w:fill="EEEEEE"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Not documented</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Available</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US DC
confirmed</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Full infra
control</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Available</w:t>
            </w:r>
          </w:p>
        </w:tc>
        <w:tc>
          <w:tcPr>
            <w:tcW w:type="dxa" w:w="1646"/>
            <w:tcBorders>
              <w:top w:val="single" w:color="CCCCCC" w:sz="2"/>
              <w:left w:val="single" w:color="CCCCCC" w:sz="2"/>
              <w:bottom w:val="single" w:color="CCCCCC" w:sz="2"/>
              <w:right w:val="single" w:color="CCCCCC" w:sz="2"/>
            </w:tcBorders>
            <w:shd w:fill="F9FAFB"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Unknown</w:t>
            </w:r>
          </w:p>
        </w:tc>
        <w:tc>
          <w:tcPr>
            <w:tcW w:type="dxa" w:w="1644"/>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US DC
confirmed</w:t>
            </w:r>
          </w:p>
        </w:tc>
      </w:tr>
      <w:tr>
        <w:tc>
          <w:tcPr>
            <w:tcW w:type="dxa" w:w="2160"/>
            <w:tcBorders>
              <w:top w:val="single" w:color="CCCCCC" w:sz="2"/>
              <w:left w:val="single" w:color="CCCCCC" w:sz="2"/>
              <w:bottom w:val="single" w:color="CCCCCC" w:sz="2"/>
              <w:right w:val="single" w:color="CCCCCC" w:sz="2"/>
            </w:tcBorders>
            <w:shd w:fill="F1F5F9" w:val="clear"/>
            <w:tcMar>
              <w:top w:type="dxa" w:w="60"/>
              <w:left w:type="dxa" w:w="90"/>
              <w:bottom w:type="dxa" w:w="60"/>
              <w:right w:type="dxa" w:w="90"/>
            </w:tcMar>
            <w:vAlign w:val="top"/>
          </w:tcPr>
          <w:p>
            <w:pPr>
              <w:spacing w:after="0"/>
            </w:pPr>
            <w:r>
              <w:rPr>
                <w:rFonts w:ascii="Arial" w:cs="Arial" w:eastAsia="Arial" w:hAnsi="Arial"/>
                <w:b/>
                <w:bCs/>
                <w:sz w:val="17"/>
                <w:szCs w:val="17"/>
              </w:rPr>
              <w:t xml:space="preserve">SOC 2 Type II</w:t>
            </w:r>
          </w:p>
        </w:tc>
        <w:tc>
          <w:tcPr>
            <w:tcW w:type="dxa" w:w="1646"/>
            <w:tcBorders>
              <w:top w:val="single" w:color="CCCCCC" w:sz="2"/>
              <w:left w:val="single" w:color="CCCCCC" w:sz="2"/>
              <w:bottom w:val="single" w:color="CCCCCC" w:sz="2"/>
              <w:right w:val="single" w:color="CCCCCC" w:sz="2"/>
            </w:tcBorders>
            <w:shd w:fill="EEEEEE"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Yes</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Yes</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Yes</w:t>
            </w:r>
          </w:p>
        </w:tc>
        <w:tc>
          <w:tcPr>
            <w:tcW w:type="dxa" w:w="1646"/>
            <w:tcBorders>
              <w:top w:val="single" w:color="CCCCCC" w:sz="2"/>
              <w:left w:val="single" w:color="CCCCCC" w:sz="2"/>
              <w:bottom w:val="single" w:color="CCCCCC" w:sz="2"/>
              <w:right w:val="single" w:color="CCCCCC" w:sz="2"/>
            </w:tcBorders>
            <w:shd w:fill="F9FAFB"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Open-source
less formal</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Yes</w:t>
            </w:r>
          </w:p>
        </w:tc>
        <w:tc>
          <w:tcPr>
            <w:tcW w:type="dxa" w:w="1646"/>
            <w:tcBorders>
              <w:top w:val="single" w:color="CCCCCC" w:sz="2"/>
              <w:left w:val="single" w:color="CCCCCC" w:sz="2"/>
              <w:bottom w:val="single" w:color="CCCCCC" w:sz="2"/>
              <w:right w:val="single" w:color="CCCCCC" w:sz="2"/>
            </w:tcBorders>
            <w:shd w:fill="F9FAFB"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Unknown</w:t>
            </w:r>
          </w:p>
        </w:tc>
        <w:tc>
          <w:tcPr>
            <w:tcW w:type="dxa" w:w="1644"/>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Yes (Trust
Center confirmed)</w:t>
            </w:r>
          </w:p>
        </w:tc>
      </w:tr>
      <w:tr>
        <w:tc>
          <w:tcPr>
            <w:tcW w:type="dxa" w:w="13680"/>
            <w:gridSpan w:val="8"/>
            <w:tcBorders>
              <w:top w:val="single" w:color="333333" w:sz="2"/>
              <w:left w:val="single" w:color="333333" w:sz="2"/>
              <w:bottom w:val="single" w:color="333333" w:sz="2"/>
              <w:right w:val="single" w:color="333333" w:sz="2"/>
            </w:tcBorders>
            <w:shd w:fill="1E3A5F"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AI CAPABILITIES</w:t>
            </w:r>
          </w:p>
        </w:tc>
      </w:tr>
      <w:tr>
        <w:tc>
          <w:tcPr>
            <w:tcW w:type="dxa" w:w="2160"/>
            <w:tcBorders>
              <w:top w:val="single" w:color="CCCCCC" w:sz="2"/>
              <w:left w:val="single" w:color="CCCCCC" w:sz="2"/>
              <w:bottom w:val="single" w:color="CCCCCC" w:sz="2"/>
              <w:right w:val="single" w:color="CCCCCC" w:sz="2"/>
            </w:tcBorders>
            <w:shd w:fill="F1F5F9" w:val="clear"/>
            <w:tcMar>
              <w:top w:type="dxa" w:w="60"/>
              <w:left w:type="dxa" w:w="90"/>
              <w:bottom w:type="dxa" w:w="60"/>
              <w:right w:type="dxa" w:w="90"/>
            </w:tcMar>
            <w:vAlign w:val="top"/>
          </w:tcPr>
          <w:p>
            <w:pPr>
              <w:spacing w:after="0"/>
            </w:pPr>
            <w:r>
              <w:rPr>
                <w:rFonts w:ascii="Arial" w:cs="Arial" w:eastAsia="Arial" w:hAnsi="Arial"/>
                <w:b/>
                <w:bCs/>
                <w:sz w:val="17"/>
                <w:szCs w:val="17"/>
              </w:rPr>
              <w:t xml:space="preserve">AI Features</w:t>
            </w:r>
          </w:p>
        </w:tc>
        <w:tc>
          <w:tcPr>
            <w:tcW w:type="dxa" w:w="1646"/>
            <w:tcBorders>
              <w:top w:val="single" w:color="CCCCCC" w:sz="2"/>
              <w:left w:val="single" w:color="CCCCCC" w:sz="2"/>
              <w:bottom w:val="single" w:color="CCCCCC" w:sz="2"/>
              <w:right w:val="single" w:color="CCCCCC" w:sz="2"/>
            </w:tcBorders>
            <w:shd w:fill="EEEEEE"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Ari + Sidekick</w:t>
            </w:r>
          </w:p>
        </w:tc>
        <w:tc>
          <w:tcPr>
            <w:tcW w:type="dxa" w:w="1646"/>
            <w:tcBorders>
              <w:top w:val="single" w:color="CCCCCC" w:sz="2"/>
              <w:left w:val="single" w:color="CCCCCC" w:sz="2"/>
              <w:bottom w:val="single" w:color="CCCCCC" w:sz="2"/>
              <w:right w:val="single" w:color="CCCCCC" w:sz="2"/>
            </w:tcBorders>
            <w:shd w:fill="E0F2FE"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CX Agent +
Turing AI</w:t>
            </w:r>
          </w:p>
        </w:tc>
        <w:tc>
          <w:tcPr>
            <w:tcW w:type="dxa" w:w="1646"/>
            <w:tcBorders>
              <w:top w:val="single" w:color="CCCCCC" w:sz="2"/>
              <w:left w:val="single" w:color="CCCCCC" w:sz="2"/>
              <w:bottom w:val="single" w:color="CCCCCC" w:sz="2"/>
              <w:right w:val="single" w:color="CCCCCC" w:sz="2"/>
            </w:tcBorders>
            <w:shd w:fill="E0F2FE"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Zia AI
(triage + assist)</w:t>
            </w:r>
          </w:p>
        </w:tc>
        <w:tc>
          <w:tcPr>
            <w:tcW w:type="dxa" w:w="1646"/>
            <w:tcBorders>
              <w:top w:val="single" w:color="CCCCCC" w:sz="2"/>
              <w:left w:val="single" w:color="CCCCCC" w:sz="2"/>
              <w:bottom w:val="single" w:color="CCCCCC" w:sz="2"/>
              <w:right w:val="single" w:color="CCCCCC" w:sz="2"/>
            </w:tcBorders>
            <w:shd w:fill="E0F2FE"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AI Assist
(OpenAI drafts)</w:t>
            </w:r>
          </w:p>
        </w:tc>
        <w:tc>
          <w:tcPr>
            <w:tcW w:type="dxa" w:w="1646"/>
            <w:tcBorders>
              <w:top w:val="single" w:color="CCCCCC" w:sz="2"/>
              <w:left w:val="single" w:color="CCCCCC" w:sz="2"/>
              <w:bottom w:val="single" w:color="CCCCCC" w:sz="2"/>
              <w:right w:val="single" w:color="CCCCCC" w:sz="2"/>
            </w:tcBorders>
            <w:shd w:fill="E0F2FE"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Fin AI +
Copilot</w:t>
            </w:r>
          </w:p>
        </w:tc>
        <w:tc>
          <w:tcPr>
            <w:tcW w:type="dxa" w:w="1646"/>
            <w:tcBorders>
              <w:top w:val="single" w:color="CCCCCC" w:sz="2"/>
              <w:left w:val="single" w:color="CCCCCC" w:sz="2"/>
              <w:bottom w:val="single" w:color="CCCCCC" w:sz="2"/>
              <w:right w:val="single" w:color="CCCCCC" w:sz="2"/>
            </w:tcBorders>
            <w:shd w:fill="EEEEEE"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None</w:t>
            </w:r>
          </w:p>
        </w:tc>
        <w:tc>
          <w:tcPr>
            <w:tcW w:type="dxa" w:w="1644"/>
            <w:tcBorders>
              <w:top w:val="single" w:color="CCCCCC" w:sz="2"/>
              <w:left w:val="single" w:color="CCCCCC" w:sz="2"/>
              <w:bottom w:val="single" w:color="CCCCCC" w:sz="2"/>
              <w:right w:val="single" w:color="CCCCCC" w:sz="2"/>
            </w:tcBorders>
            <w:shd w:fill="E0F2FE"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Freddy Suite
(Self Svc + Copilot)</w:t>
            </w:r>
          </w:p>
        </w:tc>
      </w:tr>
      <w:tr>
        <w:tc>
          <w:tcPr>
            <w:tcW w:type="dxa" w:w="2160"/>
            <w:tcBorders>
              <w:top w:val="single" w:color="CCCCCC" w:sz="2"/>
              <w:left w:val="single" w:color="CCCCCC" w:sz="2"/>
              <w:bottom w:val="single" w:color="CCCCCC" w:sz="2"/>
              <w:right w:val="single" w:color="CCCCCC" w:sz="2"/>
            </w:tcBorders>
            <w:shd w:fill="F1F5F9" w:val="clear"/>
            <w:tcMar>
              <w:top w:type="dxa" w:w="60"/>
              <w:left w:type="dxa" w:w="90"/>
              <w:bottom w:type="dxa" w:w="60"/>
              <w:right w:type="dxa" w:w="90"/>
            </w:tcMar>
            <w:vAlign w:val="top"/>
          </w:tcPr>
          <w:p>
            <w:pPr>
              <w:spacing w:after="0"/>
            </w:pPr>
            <w:r>
              <w:rPr>
                <w:rFonts w:ascii="Arial" w:cs="Arial" w:eastAsia="Arial" w:hAnsi="Arial"/>
                <w:b/>
                <w:bCs/>
                <w:sz w:val="17"/>
                <w:szCs w:val="17"/>
              </w:rPr>
              <w:t xml:space="preserve">Autonomous Resolution</w:t>
            </w:r>
          </w:p>
        </w:tc>
        <w:tc>
          <w:tcPr>
            <w:tcW w:type="dxa" w:w="1646"/>
            <w:tcBorders>
              <w:top w:val="single" w:color="CCCCCC" w:sz="2"/>
              <w:left w:val="single" w:color="CCCCCC" w:sz="2"/>
              <w:bottom w:val="single" w:color="CCCCCC" w:sz="2"/>
              <w:right w:val="single" w:color="CCCCCC" w:sz="2"/>
            </w:tcBorders>
            <w:shd w:fill="EEEEEE"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Partial</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Yes
(CX Agent)</w:t>
            </w:r>
          </w:p>
        </w:tc>
        <w:tc>
          <w:tcPr>
            <w:tcW w:type="dxa" w:w="1646"/>
            <w:tcBorders>
              <w:top w:val="single" w:color="CCCCCC" w:sz="2"/>
              <w:left w:val="single" w:color="CCCCCC" w:sz="2"/>
              <w:bottom w:val="single" w:color="CCCCCC" w:sz="2"/>
              <w:right w:val="single" w:color="CCCCCC" w:sz="2"/>
            </w:tcBorders>
            <w:shd w:fill="FEF3C7"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Partial
(agent approves)</w:t>
            </w:r>
          </w:p>
        </w:tc>
        <w:tc>
          <w:tcPr>
            <w:tcW w:type="dxa" w:w="1646"/>
            <w:tcBorders>
              <w:top w:val="single" w:color="CCCCCC" w:sz="2"/>
              <w:left w:val="single" w:color="CCCCCC" w:sz="2"/>
              <w:bottom w:val="single" w:color="CCCCCC" w:sz="2"/>
              <w:right w:val="single" w:color="CCCCCC" w:sz="2"/>
            </w:tcBorders>
            <w:shd w:fill="FEE2E2"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No
(drafts only)</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Yes (Fin)
most capable</w:t>
            </w:r>
          </w:p>
        </w:tc>
        <w:tc>
          <w:tcPr>
            <w:tcW w:type="dxa" w:w="1646"/>
            <w:tcBorders>
              <w:top w:val="single" w:color="CCCCCC" w:sz="2"/>
              <w:left w:val="single" w:color="CCCCCC" w:sz="2"/>
              <w:bottom w:val="single" w:color="CCCCCC" w:sz="2"/>
              <w:right w:val="single" w:color="CCCCCC" w:sz="2"/>
            </w:tcBorders>
            <w:shd w:fill="FEE2E2"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None</w:t>
            </w:r>
          </w:p>
        </w:tc>
        <w:tc>
          <w:tcPr>
            <w:tcW w:type="dxa" w:w="1644"/>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Yes
(Freddy Self Svc)</w:t>
            </w:r>
          </w:p>
        </w:tc>
      </w:tr>
      <w:tr>
        <w:tc>
          <w:tcPr>
            <w:tcW w:type="dxa" w:w="2160"/>
            <w:tcBorders>
              <w:top w:val="single" w:color="CCCCCC" w:sz="2"/>
              <w:left w:val="single" w:color="CCCCCC" w:sz="2"/>
              <w:bottom w:val="single" w:color="CCCCCC" w:sz="2"/>
              <w:right w:val="single" w:color="CCCCCC" w:sz="2"/>
            </w:tcBorders>
            <w:shd w:fill="F1F5F9" w:val="clear"/>
            <w:tcMar>
              <w:top w:type="dxa" w:w="60"/>
              <w:left w:type="dxa" w:w="90"/>
              <w:bottom w:type="dxa" w:w="60"/>
              <w:right w:type="dxa" w:w="90"/>
            </w:tcMar>
            <w:vAlign w:val="top"/>
          </w:tcPr>
          <w:p>
            <w:pPr>
              <w:spacing w:after="0"/>
            </w:pPr>
            <w:r>
              <w:rPr>
                <w:rFonts w:ascii="Arial" w:cs="Arial" w:eastAsia="Arial" w:hAnsi="Arial"/>
                <w:b/>
                <w:bCs/>
                <w:sz w:val="17"/>
                <w:szCs w:val="17"/>
              </w:rPr>
              <w:t xml:space="preserve">AI Pricing Model</w:t>
            </w:r>
          </w:p>
        </w:tc>
        <w:tc>
          <w:tcPr>
            <w:tcW w:type="dxa" w:w="1646"/>
            <w:tcBorders>
              <w:top w:val="single" w:color="CCCCCC" w:sz="2"/>
              <w:left w:val="single" w:color="CCCCCC" w:sz="2"/>
              <w:bottom w:val="single" w:color="CCCCCC" w:sz="2"/>
              <w:right w:val="single" w:color="CCCCCC" w:sz="2"/>
            </w:tcBorders>
            <w:shd w:fill="EEEEEE"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Included</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Flat rate
included in seat</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Flat rate
(Enterprise tier)</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Flat rate
+ OpenAI API</w:t>
            </w:r>
          </w:p>
        </w:tc>
        <w:tc>
          <w:tcPr>
            <w:tcW w:type="dxa" w:w="1646"/>
            <w:tcBorders>
              <w:top w:val="single" w:color="CCCCCC" w:sz="2"/>
              <w:left w:val="single" w:color="CCCCCC" w:sz="2"/>
              <w:bottom w:val="single" w:color="CCCCCC" w:sz="2"/>
              <w:right w:val="single" w:color="CCCCCC" w:sz="2"/>
            </w:tcBorders>
            <w:shd w:fill="FEF3C7"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~$0.99
per resolution</w:t>
            </w:r>
          </w:p>
        </w:tc>
        <w:tc>
          <w:tcPr>
            <w:tcW w:type="dxa" w:w="1646"/>
            <w:tcBorders>
              <w:top w:val="single" w:color="CCCCCC" w:sz="2"/>
              <w:left w:val="single" w:color="CCCCCC" w:sz="2"/>
              <w:bottom w:val="single" w:color="CCCCCC" w:sz="2"/>
              <w:right w:val="single" w:color="CCCCCC" w:sz="2"/>
            </w:tcBorders>
            <w:shd w:fill="EEEEEE"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N/A</w:t>
            </w:r>
          </w:p>
        </w:tc>
        <w:tc>
          <w:tcPr>
            <w:tcW w:type="dxa" w:w="1644"/>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Flat rate
no per-resolution</w:t>
            </w:r>
          </w:p>
        </w:tc>
      </w:tr>
      <w:tr>
        <w:tc>
          <w:tcPr>
            <w:tcW w:type="dxa" w:w="13680"/>
            <w:gridSpan w:val="8"/>
            <w:tcBorders>
              <w:top w:val="single" w:color="333333" w:sz="2"/>
              <w:left w:val="single" w:color="333333" w:sz="2"/>
              <w:bottom w:val="single" w:color="333333" w:sz="2"/>
              <w:right w:val="single" w:color="333333" w:sz="2"/>
            </w:tcBorders>
            <w:shd w:fill="1E3A5F"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PRICING &amp; TRIAL</w:t>
            </w:r>
          </w:p>
        </w:tc>
      </w:tr>
      <w:tr>
        <w:tc>
          <w:tcPr>
            <w:tcW w:type="dxa" w:w="2160"/>
            <w:tcBorders>
              <w:top w:val="single" w:color="CCCCCC" w:sz="2"/>
              <w:left w:val="single" w:color="CCCCCC" w:sz="2"/>
              <w:bottom w:val="single" w:color="CCCCCC" w:sz="2"/>
              <w:right w:val="single" w:color="CCCCCC" w:sz="2"/>
            </w:tcBorders>
            <w:shd w:fill="F1F5F9" w:val="clear"/>
            <w:tcMar>
              <w:top w:type="dxa" w:w="60"/>
              <w:left w:type="dxa" w:w="90"/>
              <w:bottom w:type="dxa" w:w="60"/>
              <w:right w:type="dxa" w:w="90"/>
            </w:tcMar>
            <w:vAlign w:val="top"/>
          </w:tcPr>
          <w:p>
            <w:pPr>
              <w:spacing w:after="0"/>
            </w:pPr>
            <w:r>
              <w:rPr>
                <w:rFonts w:ascii="Arial" w:cs="Arial" w:eastAsia="Arial" w:hAnsi="Arial"/>
                <w:b/>
                <w:bCs/>
                <w:sz w:val="17"/>
                <w:szCs w:val="17"/>
              </w:rPr>
              <w:t xml:space="preserve">Est. Price / Agent / Mo</w:t>
            </w:r>
          </w:p>
        </w:tc>
        <w:tc>
          <w:tcPr>
            <w:tcW w:type="dxa" w:w="1646"/>
            <w:tcBorders>
              <w:top w:val="single" w:color="CCCCCC" w:sz="2"/>
              <w:left w:val="single" w:color="CCCCCC" w:sz="2"/>
              <w:bottom w:val="single" w:color="CCCCCC" w:sz="2"/>
              <w:right w:val="single" w:color="CCCCCC" w:sz="2"/>
            </w:tcBorders>
            <w:shd w:fill="EEEEEE"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~$250-300/mo
flat</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~$19.99
lowest per-seat</w:t>
            </w:r>
          </w:p>
        </w:tc>
        <w:tc>
          <w:tcPr>
            <w:tcW w:type="dxa" w:w="1646"/>
            <w:tcBorders>
              <w:top w:val="single" w:color="CCCCCC" w:sz="2"/>
              <w:left w:val="single" w:color="CCCCCC" w:sz="2"/>
              <w:bottom w:val="single" w:color="CCCCCC" w:sz="2"/>
              <w:right w:val="single" w:color="CCCCCC" w:sz="2"/>
            </w:tcBorders>
            <w:shd w:fill="E0F2FE"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~$40
(Enterprise req.)</w:t>
            </w:r>
          </w:p>
        </w:tc>
        <w:tc>
          <w:tcPr>
            <w:tcW w:type="dxa" w:w="1646"/>
            <w:tcBorders>
              <w:top w:val="single" w:color="CCCCCC" w:sz="2"/>
              <w:left w:val="single" w:color="CCCCCC" w:sz="2"/>
              <w:bottom w:val="single" w:color="CCCCCC" w:sz="2"/>
              <w:right w:val="single" w:color="CCCCCC" w:sz="2"/>
            </w:tcBorders>
            <w:shd w:fill="E0F2FE"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~$19 cloud
or infra cost</w:t>
            </w:r>
          </w:p>
        </w:tc>
        <w:tc>
          <w:tcPr>
            <w:tcW w:type="dxa" w:w="1646"/>
            <w:tcBorders>
              <w:top w:val="single" w:color="CCCCCC" w:sz="2"/>
              <w:left w:val="single" w:color="CCCCCC" w:sz="2"/>
              <w:bottom w:val="single" w:color="CCCCCC" w:sz="2"/>
              <w:right w:val="single" w:color="CCCCCC" w:sz="2"/>
            </w:tcBorders>
            <w:shd w:fill="FEF3C7"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~$29-139
+ Fin fees</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Included in
existing Linear</w:t>
            </w:r>
          </w:p>
        </w:tc>
        <w:tc>
          <w:tcPr>
            <w:tcW w:type="dxa" w:w="1644"/>
            <w:tcBorders>
              <w:top w:val="single" w:color="CCCCCC" w:sz="2"/>
              <w:left w:val="single" w:color="CCCCCC" w:sz="2"/>
              <w:bottom w:val="single" w:color="CCCCCC" w:sz="2"/>
              <w:right w:val="single" w:color="CCCCCC" w:sz="2"/>
            </w:tcBorders>
            <w:shd w:fill="F9FAFB"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~$49-79 est.
not confirmed</w:t>
            </w:r>
          </w:p>
        </w:tc>
      </w:tr>
      <w:tr>
        <w:tc>
          <w:tcPr>
            <w:tcW w:type="dxa" w:w="2160"/>
            <w:tcBorders>
              <w:top w:val="single" w:color="CCCCCC" w:sz="2"/>
              <w:left w:val="single" w:color="CCCCCC" w:sz="2"/>
              <w:bottom w:val="single" w:color="CCCCCC" w:sz="2"/>
              <w:right w:val="single" w:color="CCCCCC" w:sz="2"/>
            </w:tcBorders>
            <w:shd w:fill="F1F5F9" w:val="clear"/>
            <w:tcMar>
              <w:top w:type="dxa" w:w="60"/>
              <w:left w:type="dxa" w:w="90"/>
              <w:bottom w:type="dxa" w:w="60"/>
              <w:right w:type="dxa" w:w="90"/>
            </w:tcMar>
            <w:vAlign w:val="top"/>
          </w:tcPr>
          <w:p>
            <w:pPr>
              <w:spacing w:after="0"/>
            </w:pPr>
            <w:r>
              <w:rPr>
                <w:rFonts w:ascii="Arial" w:cs="Arial" w:eastAsia="Arial" w:hAnsi="Arial"/>
                <w:b/>
                <w:bCs/>
                <w:sz w:val="17"/>
                <w:szCs w:val="17"/>
              </w:rPr>
              <w:t xml:space="preserve">Trial Length</w:t>
            </w:r>
          </w:p>
        </w:tc>
        <w:tc>
          <w:tcPr>
            <w:tcW w:type="dxa" w:w="1646"/>
            <w:tcBorders>
              <w:top w:val="single" w:color="CCCCCC" w:sz="2"/>
              <w:left w:val="single" w:color="CCCCCC" w:sz="2"/>
              <w:bottom w:val="single" w:color="CCCCCC" w:sz="2"/>
              <w:right w:val="single" w:color="CCCCCC" w:sz="2"/>
            </w:tcBorders>
            <w:shd w:fill="FEE2E2"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7 days
(shortest)</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45 days
(longest)</w:t>
            </w:r>
          </w:p>
        </w:tc>
        <w:tc>
          <w:tcPr>
            <w:tcW w:type="dxa" w:w="1646"/>
            <w:tcBorders>
              <w:top w:val="single" w:color="CCCCCC" w:sz="2"/>
              <w:left w:val="single" w:color="CCCCCC" w:sz="2"/>
              <w:bottom w:val="single" w:color="CCCCCC" w:sz="2"/>
              <w:right w:val="single" w:color="CCCCCC" w:sz="2"/>
            </w:tcBorders>
            <w:shd w:fill="E0F2FE"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30 days</w:t>
            </w:r>
          </w:p>
        </w:tc>
        <w:tc>
          <w:tcPr>
            <w:tcW w:type="dxa" w:w="1646"/>
            <w:tcBorders>
              <w:top w:val="single" w:color="CCCCCC" w:sz="2"/>
              <w:left w:val="single" w:color="CCCCCC" w:sz="2"/>
              <w:bottom w:val="single" w:color="CCCCCC" w:sz="2"/>
              <w:right w:val="single" w:color="CCCCCC" w:sz="2"/>
            </w:tcBorders>
            <w:shd w:fill="E0F2FE"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Available
TBC</w:t>
            </w:r>
          </w:p>
        </w:tc>
        <w:tc>
          <w:tcPr>
            <w:tcW w:type="dxa" w:w="1646"/>
            <w:tcBorders>
              <w:top w:val="single" w:color="CCCCCC" w:sz="2"/>
              <w:left w:val="single" w:color="CCCCCC" w:sz="2"/>
              <w:bottom w:val="single" w:color="CCCCCC" w:sz="2"/>
              <w:right w:val="single" w:color="CCCCCC" w:sz="2"/>
            </w:tcBorders>
            <w:shd w:fill="E0F2FE"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Available
TBC</w:t>
            </w:r>
          </w:p>
        </w:tc>
        <w:tc>
          <w:tcPr>
            <w:tcW w:type="dxa" w:w="1646"/>
            <w:tcBorders>
              <w:top w:val="single" w:color="CCCCCC" w:sz="2"/>
              <w:left w:val="single" w:color="CCCCCC" w:sz="2"/>
              <w:bottom w:val="single" w:color="CCCCCC" w:sz="2"/>
              <w:right w:val="single" w:color="CCCCCC" w:sz="2"/>
            </w:tcBorders>
            <w:shd w:fill="EEEEEE"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N/A — in use</w:t>
            </w:r>
          </w:p>
        </w:tc>
        <w:tc>
          <w:tcPr>
            <w:tcW w:type="dxa" w:w="1644"/>
            <w:tcBorders>
              <w:top w:val="single" w:color="CCCCCC" w:sz="2"/>
              <w:left w:val="single" w:color="CCCCCC" w:sz="2"/>
              <w:bottom w:val="single" w:color="CCCCCC" w:sz="2"/>
              <w:right w:val="single" w:color="CCCCCC" w:sz="2"/>
            </w:tcBorders>
            <w:shd w:fill="F9FAFB"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Conflicting
info</w:t>
            </w:r>
          </w:p>
        </w:tc>
      </w:tr>
      <w:tr>
        <w:tc>
          <w:tcPr>
            <w:tcW w:type="dxa" w:w="13680"/>
            <w:gridSpan w:val="8"/>
            <w:tcBorders>
              <w:top w:val="single" w:color="333333" w:sz="2"/>
              <w:left w:val="single" w:color="333333" w:sz="2"/>
              <w:bottom w:val="single" w:color="333333" w:sz="2"/>
              <w:right w:val="single" w:color="333333" w:sz="2"/>
            </w:tcBorders>
            <w:shd w:fill="1E3A5F"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INTEGRATION &amp; ENGINEERING</w:t>
            </w:r>
          </w:p>
        </w:tc>
      </w:tr>
      <w:tr>
        <w:tc>
          <w:tcPr>
            <w:tcW w:type="dxa" w:w="2160"/>
            <w:tcBorders>
              <w:top w:val="single" w:color="CCCCCC" w:sz="2"/>
              <w:left w:val="single" w:color="CCCCCC" w:sz="2"/>
              <w:bottom w:val="single" w:color="CCCCCC" w:sz="2"/>
              <w:right w:val="single" w:color="CCCCCC" w:sz="2"/>
            </w:tcBorders>
            <w:shd w:fill="F1F5F9" w:val="clear"/>
            <w:tcMar>
              <w:top w:type="dxa" w:w="60"/>
              <w:left w:type="dxa" w:w="90"/>
              <w:bottom w:type="dxa" w:w="60"/>
              <w:right w:type="dxa" w:w="90"/>
            </w:tcMar>
            <w:vAlign w:val="top"/>
          </w:tcPr>
          <w:p>
            <w:pPr>
              <w:spacing w:after="0"/>
            </w:pPr>
            <w:r>
              <w:rPr>
                <w:rFonts w:ascii="Arial" w:cs="Arial" w:eastAsia="Arial" w:hAnsi="Arial"/>
                <w:b/>
                <w:bCs/>
                <w:sz w:val="17"/>
                <w:szCs w:val="17"/>
              </w:rPr>
              <w:t xml:space="preserve">Linear Integration</w:t>
            </w:r>
          </w:p>
        </w:tc>
        <w:tc>
          <w:tcPr>
            <w:tcW w:type="dxa" w:w="1646"/>
            <w:tcBorders>
              <w:top w:val="single" w:color="CCCCCC" w:sz="2"/>
              <w:left w:val="single" w:color="CCCCCC" w:sz="2"/>
              <w:bottom w:val="single" w:color="CCCCCC" w:sz="2"/>
              <w:right w:val="single" w:color="CCCCCC" w:sz="2"/>
            </w:tcBorders>
            <w:shd w:fill="EEEEEE"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Via API/webhook</w:t>
            </w:r>
          </w:p>
        </w:tc>
        <w:tc>
          <w:tcPr>
            <w:tcW w:type="dxa" w:w="1646"/>
            <w:tcBorders>
              <w:top w:val="single" w:color="CCCCCC" w:sz="2"/>
              <w:left w:val="single" w:color="CCCCCC" w:sz="2"/>
              <w:bottom w:val="single" w:color="CCCCCC" w:sz="2"/>
              <w:right w:val="single" w:color="CCCCCC" w:sz="2"/>
            </w:tcBorders>
            <w:shd w:fill="FEF3C7"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Via webhook
(no native)</w:t>
            </w:r>
          </w:p>
        </w:tc>
        <w:tc>
          <w:tcPr>
            <w:tcW w:type="dxa" w:w="1646"/>
            <w:tcBorders>
              <w:top w:val="single" w:color="CCCCCC" w:sz="2"/>
              <w:left w:val="single" w:color="CCCCCC" w:sz="2"/>
              <w:bottom w:val="single" w:color="CCCCCC" w:sz="2"/>
              <w:right w:val="single" w:color="CCCCCC" w:sz="2"/>
            </w:tcBorders>
            <w:shd w:fill="FEF3C7"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Via Zoho Flow
(custom setup)</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Native
built-in</w:t>
            </w:r>
          </w:p>
        </w:tc>
        <w:tc>
          <w:tcPr>
            <w:tcW w:type="dxa" w:w="1646"/>
            <w:tcBorders>
              <w:top w:val="single" w:color="CCCCCC" w:sz="2"/>
              <w:left w:val="single" w:color="CCCCCC" w:sz="2"/>
              <w:bottom w:val="single" w:color="CCCCCC" w:sz="2"/>
              <w:right w:val="single" w:color="CCCCCC" w:sz="2"/>
            </w:tcBorders>
            <w:shd w:fill="FEF3C7"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Via marketplace
or webhook</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IS Linear
zero setup</w:t>
            </w:r>
          </w:p>
        </w:tc>
        <w:tc>
          <w:tcPr>
            <w:tcW w:type="dxa" w:w="1644"/>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Native
Marketplace app</w:t>
            </w:r>
          </w:p>
        </w:tc>
      </w:tr>
      <w:tr>
        <w:tc>
          <w:tcPr>
            <w:tcW w:type="dxa" w:w="2160"/>
            <w:tcBorders>
              <w:top w:val="single" w:color="CCCCCC" w:sz="2"/>
              <w:left w:val="single" w:color="CCCCCC" w:sz="2"/>
              <w:bottom w:val="single" w:color="CCCCCC" w:sz="2"/>
              <w:right w:val="single" w:color="CCCCCC" w:sz="2"/>
            </w:tcBorders>
            <w:shd w:fill="F1F5F9" w:val="clear"/>
            <w:tcMar>
              <w:top w:type="dxa" w:w="60"/>
              <w:left w:type="dxa" w:w="90"/>
              <w:bottom w:type="dxa" w:w="60"/>
              <w:right w:type="dxa" w:w="90"/>
            </w:tcMar>
            <w:vAlign w:val="top"/>
          </w:tcPr>
          <w:p>
            <w:pPr>
              <w:spacing w:after="0"/>
            </w:pPr>
            <w:r>
              <w:rPr>
                <w:rFonts w:ascii="Arial" w:cs="Arial" w:eastAsia="Arial" w:hAnsi="Arial"/>
                <w:b/>
                <w:bCs/>
                <w:sz w:val="17"/>
                <w:szCs w:val="17"/>
              </w:rPr>
              <w:t xml:space="preserve">Native Eng Unification</w:t>
            </w:r>
          </w:p>
        </w:tc>
        <w:tc>
          <w:tcPr>
            <w:tcW w:type="dxa" w:w="1646"/>
            <w:tcBorders>
              <w:top w:val="single" w:color="CCCCCC" w:sz="2"/>
              <w:left w:val="single" w:color="CCCCCC" w:sz="2"/>
              <w:bottom w:val="single" w:color="CCCCCC" w:sz="2"/>
              <w:right w:val="single" w:color="CCCCCC" w:sz="2"/>
            </w:tcBorders>
            <w:shd w:fill="EEEEEE"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No</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Yes (PLuG)
support → work items</w:t>
            </w:r>
          </w:p>
        </w:tc>
        <w:tc>
          <w:tcPr>
            <w:tcW w:type="dxa" w:w="1646"/>
            <w:tcBorders>
              <w:top w:val="single" w:color="CCCCCC" w:sz="2"/>
              <w:left w:val="single" w:color="CCCCCC" w:sz="2"/>
              <w:bottom w:val="single" w:color="CCCCCC" w:sz="2"/>
              <w:right w:val="single" w:color="CCCCCC" w:sz="2"/>
            </w:tcBorders>
            <w:shd w:fill="FEE2E2"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No</w:t>
            </w:r>
          </w:p>
        </w:tc>
        <w:tc>
          <w:tcPr>
            <w:tcW w:type="dxa" w:w="1646"/>
            <w:tcBorders>
              <w:top w:val="single" w:color="CCCCCC" w:sz="2"/>
              <w:left w:val="single" w:color="CCCCCC" w:sz="2"/>
              <w:bottom w:val="single" w:color="CCCCCC" w:sz="2"/>
              <w:right w:val="single" w:color="CCCCCC" w:sz="2"/>
            </w:tcBorders>
            <w:shd w:fill="FEE2E2"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No</w:t>
            </w:r>
          </w:p>
        </w:tc>
        <w:tc>
          <w:tcPr>
            <w:tcW w:type="dxa" w:w="1646"/>
            <w:tcBorders>
              <w:top w:val="single" w:color="CCCCCC" w:sz="2"/>
              <w:left w:val="single" w:color="CCCCCC" w:sz="2"/>
              <w:bottom w:val="single" w:color="CCCCCC" w:sz="2"/>
              <w:right w:val="single" w:color="CCCCCC" w:sz="2"/>
            </w:tcBorders>
            <w:shd w:fill="FEE2E2"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No</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IS Linear</w:t>
            </w:r>
          </w:p>
        </w:tc>
        <w:tc>
          <w:tcPr>
            <w:tcW w:type="dxa" w:w="1644"/>
            <w:tcBorders>
              <w:top w:val="single" w:color="CCCCCC" w:sz="2"/>
              <w:left w:val="single" w:color="CCCCCC" w:sz="2"/>
              <w:bottom w:val="single" w:color="CCCCCC" w:sz="2"/>
              <w:right w:val="single" w:color="CCCCCC" w:sz="2"/>
            </w:tcBorders>
            <w:shd w:fill="FEE2E2"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No</w:t>
            </w:r>
          </w:p>
        </w:tc>
      </w:tr>
      <w:tr>
        <w:tc>
          <w:tcPr>
            <w:tcW w:type="dxa" w:w="2160"/>
            <w:tcBorders>
              <w:top w:val="single" w:color="CCCCCC" w:sz="2"/>
              <w:left w:val="single" w:color="CCCCCC" w:sz="2"/>
              <w:bottom w:val="single" w:color="CCCCCC" w:sz="2"/>
              <w:right w:val="single" w:color="CCCCCC" w:sz="2"/>
            </w:tcBorders>
            <w:shd w:fill="F1F5F9" w:val="clear"/>
            <w:tcMar>
              <w:top w:type="dxa" w:w="60"/>
              <w:left w:type="dxa" w:w="90"/>
              <w:bottom w:type="dxa" w:w="60"/>
              <w:right w:type="dxa" w:w="90"/>
            </w:tcMar>
            <w:vAlign w:val="top"/>
          </w:tcPr>
          <w:p>
            <w:pPr>
              <w:spacing w:after="0"/>
            </w:pPr>
            <w:r>
              <w:rPr>
                <w:rFonts w:ascii="Arial" w:cs="Arial" w:eastAsia="Arial" w:hAnsi="Arial"/>
                <w:b/>
                <w:bCs/>
                <w:sz w:val="17"/>
                <w:szCs w:val="17"/>
              </w:rPr>
              <w:t xml:space="preserve">REST API + Webhooks</w:t>
            </w:r>
          </w:p>
        </w:tc>
        <w:tc>
          <w:tcPr>
            <w:tcW w:type="dxa" w:w="1646"/>
            <w:tcBorders>
              <w:top w:val="single" w:color="CCCCCC" w:sz="2"/>
              <w:left w:val="single" w:color="CCCCCC" w:sz="2"/>
              <w:bottom w:val="single" w:color="CCCCCC" w:sz="2"/>
              <w:right w:val="single" w:color="CCCCCC" w:sz="2"/>
            </w:tcBorders>
            <w:shd w:fill="EEEEEE"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GraphQL + SDK</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REST + webhooks</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REST + webhooks</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REST + webhooks</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REST + webhooks</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Linear API</w:t>
            </w:r>
          </w:p>
        </w:tc>
        <w:tc>
          <w:tcPr>
            <w:tcW w:type="dxa" w:w="1644"/>
            <w:tcBorders>
              <w:top w:val="single" w:color="CCCCCC" w:sz="2"/>
              <w:left w:val="single" w:color="CCCCCC" w:sz="2"/>
              <w:bottom w:val="single" w:color="CCCCCC" w:sz="2"/>
              <w:right w:val="single" w:color="CCCCCC" w:sz="2"/>
            </w:tcBorders>
            <w:shd w:fill="FEF3C7"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Available
details unconfirmed</w:t>
            </w:r>
          </w:p>
        </w:tc>
      </w:tr>
      <w:tr>
        <w:tc>
          <w:tcPr>
            <w:tcW w:type="dxa" w:w="13680"/>
            <w:gridSpan w:val="8"/>
            <w:tcBorders>
              <w:top w:val="single" w:color="333333" w:sz="2"/>
              <w:left w:val="single" w:color="333333" w:sz="2"/>
              <w:bottom w:val="single" w:color="333333" w:sz="2"/>
              <w:right w:val="single" w:color="333333" w:sz="2"/>
            </w:tcBorders>
            <w:shd w:fill="1E3A5F"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SUPPORT FEATURES</w:t>
            </w:r>
          </w:p>
        </w:tc>
      </w:tr>
      <w:tr>
        <w:tc>
          <w:tcPr>
            <w:tcW w:type="dxa" w:w="2160"/>
            <w:tcBorders>
              <w:top w:val="single" w:color="CCCCCC" w:sz="2"/>
              <w:left w:val="single" w:color="CCCCCC" w:sz="2"/>
              <w:bottom w:val="single" w:color="CCCCCC" w:sz="2"/>
              <w:right w:val="single" w:color="CCCCCC" w:sz="2"/>
            </w:tcBorders>
            <w:shd w:fill="F1F5F9" w:val="clear"/>
            <w:tcMar>
              <w:top w:type="dxa" w:w="60"/>
              <w:left w:type="dxa" w:w="90"/>
              <w:bottom w:type="dxa" w:w="60"/>
              <w:right w:type="dxa" w:w="90"/>
            </w:tcMar>
            <w:vAlign w:val="top"/>
          </w:tcPr>
          <w:p>
            <w:pPr>
              <w:spacing w:after="0"/>
            </w:pPr>
            <w:r>
              <w:rPr>
                <w:rFonts w:ascii="Arial" w:cs="Arial" w:eastAsia="Arial" w:hAnsi="Arial"/>
                <w:b/>
                <w:bCs/>
                <w:sz w:val="17"/>
                <w:szCs w:val="17"/>
              </w:rPr>
              <w:t xml:space="preserve">Customer Portal</w:t>
            </w:r>
          </w:p>
        </w:tc>
        <w:tc>
          <w:tcPr>
            <w:tcW w:type="dxa" w:w="1646"/>
            <w:tcBorders>
              <w:top w:val="single" w:color="CCCCCC" w:sz="2"/>
              <w:left w:val="single" w:color="CCCCCC" w:sz="2"/>
              <w:bottom w:val="single" w:color="CCCCCC" w:sz="2"/>
              <w:right w:val="single" w:color="CCCCCC" w:sz="2"/>
            </w:tcBorders>
            <w:shd w:fill="EEEEEE"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No</w:t>
            </w:r>
          </w:p>
        </w:tc>
        <w:tc>
          <w:tcPr>
            <w:tcW w:type="dxa" w:w="1646"/>
            <w:tcBorders>
              <w:top w:val="single" w:color="CCCCCC" w:sz="2"/>
              <w:left w:val="single" w:color="CCCCCC" w:sz="2"/>
              <w:bottom w:val="single" w:color="CCCCCC" w:sz="2"/>
              <w:right w:val="single" w:color="CCCCCC" w:sz="2"/>
            </w:tcBorders>
            <w:shd w:fill="FEE2E2"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No</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Yes</w:t>
            </w:r>
          </w:p>
        </w:tc>
        <w:tc>
          <w:tcPr>
            <w:tcW w:type="dxa" w:w="1646"/>
            <w:tcBorders>
              <w:top w:val="single" w:color="CCCCCC" w:sz="2"/>
              <w:left w:val="single" w:color="CCCCCC" w:sz="2"/>
              <w:bottom w:val="single" w:color="CCCCCC" w:sz="2"/>
              <w:right w:val="single" w:color="CCCCCC" w:sz="2"/>
            </w:tcBorders>
            <w:shd w:fill="FEE2E2"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No</w:t>
            </w:r>
          </w:p>
        </w:tc>
        <w:tc>
          <w:tcPr>
            <w:tcW w:type="dxa" w:w="1646"/>
            <w:tcBorders>
              <w:top w:val="single" w:color="CCCCCC" w:sz="2"/>
              <w:left w:val="single" w:color="CCCCCC" w:sz="2"/>
              <w:bottom w:val="single" w:color="CCCCCC" w:sz="2"/>
              <w:right w:val="single" w:color="CCCCCC" w:sz="2"/>
            </w:tcBorders>
            <w:shd w:fill="FEE2E2"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No</w:t>
            </w:r>
          </w:p>
        </w:tc>
        <w:tc>
          <w:tcPr>
            <w:tcW w:type="dxa" w:w="1646"/>
            <w:tcBorders>
              <w:top w:val="single" w:color="CCCCCC" w:sz="2"/>
              <w:left w:val="single" w:color="CCCCCC" w:sz="2"/>
              <w:bottom w:val="single" w:color="CCCCCC" w:sz="2"/>
              <w:right w:val="single" w:color="CCCCCC" w:sz="2"/>
            </w:tcBorders>
            <w:shd w:fill="FEE2E2"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No</w:t>
            </w:r>
          </w:p>
        </w:tc>
        <w:tc>
          <w:tcPr>
            <w:tcW w:type="dxa" w:w="1644"/>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Yes
unique differentiator</w:t>
            </w:r>
          </w:p>
        </w:tc>
      </w:tr>
      <w:tr>
        <w:tc>
          <w:tcPr>
            <w:tcW w:type="dxa" w:w="2160"/>
            <w:tcBorders>
              <w:top w:val="single" w:color="CCCCCC" w:sz="2"/>
              <w:left w:val="single" w:color="CCCCCC" w:sz="2"/>
              <w:bottom w:val="single" w:color="CCCCCC" w:sz="2"/>
              <w:right w:val="single" w:color="CCCCCC" w:sz="2"/>
            </w:tcBorders>
            <w:shd w:fill="F1F5F9" w:val="clear"/>
            <w:tcMar>
              <w:top w:type="dxa" w:w="60"/>
              <w:left w:type="dxa" w:w="90"/>
              <w:bottom w:type="dxa" w:w="60"/>
              <w:right w:type="dxa" w:w="90"/>
            </w:tcMar>
            <w:vAlign w:val="top"/>
          </w:tcPr>
          <w:p>
            <w:pPr>
              <w:spacing w:after="0"/>
            </w:pPr>
            <w:r>
              <w:rPr>
                <w:rFonts w:ascii="Arial" w:cs="Arial" w:eastAsia="Arial" w:hAnsi="Arial"/>
                <w:b/>
                <w:bCs/>
                <w:sz w:val="17"/>
                <w:szCs w:val="17"/>
              </w:rPr>
              <w:t xml:space="preserve">Email-to-Ticket Ingestion</w:t>
            </w:r>
          </w:p>
        </w:tc>
        <w:tc>
          <w:tcPr>
            <w:tcW w:type="dxa" w:w="1646"/>
            <w:tcBorders>
              <w:top w:val="single" w:color="CCCCCC" w:sz="2"/>
              <w:left w:val="single" w:color="CCCCCC" w:sz="2"/>
              <w:bottom w:val="single" w:color="CCCCCC" w:sz="2"/>
              <w:right w:val="single" w:color="CCCCCC" w:sz="2"/>
            </w:tcBorders>
            <w:shd w:fill="EEEEEE"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Yes</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Yes</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Yes</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Yes</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Yes</w:t>
            </w:r>
          </w:p>
        </w:tc>
        <w:tc>
          <w:tcPr>
            <w:tcW w:type="dxa" w:w="1646"/>
            <w:tcBorders>
              <w:top w:val="single" w:color="CCCCCC" w:sz="2"/>
              <w:left w:val="single" w:color="CCCCCC" w:sz="2"/>
              <w:bottom w:val="single" w:color="CCCCCC" w:sz="2"/>
              <w:right w:val="single" w:color="CCCCCC" w:sz="2"/>
            </w:tcBorders>
            <w:shd w:fill="FEE2E2"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No
(agent-mediated)</w:t>
            </w:r>
          </w:p>
        </w:tc>
        <w:tc>
          <w:tcPr>
            <w:tcW w:type="dxa" w:w="1644"/>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Yes</w:t>
            </w:r>
          </w:p>
        </w:tc>
      </w:tr>
      <w:tr>
        <w:tc>
          <w:tcPr>
            <w:tcW w:type="dxa" w:w="2160"/>
            <w:tcBorders>
              <w:top w:val="single" w:color="CCCCCC" w:sz="2"/>
              <w:left w:val="single" w:color="CCCCCC" w:sz="2"/>
              <w:bottom w:val="single" w:color="CCCCCC" w:sz="2"/>
              <w:right w:val="single" w:color="CCCCCC" w:sz="2"/>
            </w:tcBorders>
            <w:shd w:fill="F1F5F9" w:val="clear"/>
            <w:tcMar>
              <w:top w:type="dxa" w:w="60"/>
              <w:left w:type="dxa" w:w="90"/>
              <w:bottom w:type="dxa" w:w="60"/>
              <w:right w:type="dxa" w:w="90"/>
            </w:tcMar>
            <w:vAlign w:val="top"/>
          </w:tcPr>
          <w:p>
            <w:pPr>
              <w:spacing w:after="0"/>
            </w:pPr>
            <w:r>
              <w:rPr>
                <w:rFonts w:ascii="Arial" w:cs="Arial" w:eastAsia="Arial" w:hAnsi="Arial"/>
                <w:b/>
                <w:bCs/>
                <w:sz w:val="17"/>
                <w:szCs w:val="17"/>
              </w:rPr>
              <w:t xml:space="preserve">Self-Hostable</w:t>
            </w:r>
          </w:p>
        </w:tc>
        <w:tc>
          <w:tcPr>
            <w:tcW w:type="dxa" w:w="1646"/>
            <w:tcBorders>
              <w:top w:val="single" w:color="CCCCCC" w:sz="2"/>
              <w:left w:val="single" w:color="CCCCCC" w:sz="2"/>
              <w:bottom w:val="single" w:color="CCCCCC" w:sz="2"/>
              <w:right w:val="single" w:color="CCCCCC" w:sz="2"/>
            </w:tcBorders>
            <w:shd w:fill="EEEEEE"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No</w:t>
            </w:r>
          </w:p>
        </w:tc>
        <w:tc>
          <w:tcPr>
            <w:tcW w:type="dxa" w:w="1646"/>
            <w:tcBorders>
              <w:top w:val="single" w:color="CCCCCC" w:sz="2"/>
              <w:left w:val="single" w:color="CCCCCC" w:sz="2"/>
              <w:bottom w:val="single" w:color="CCCCCC" w:sz="2"/>
              <w:right w:val="single" w:color="CCCCCC" w:sz="2"/>
            </w:tcBorders>
            <w:shd w:fill="FEE2E2"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No</w:t>
            </w:r>
          </w:p>
        </w:tc>
        <w:tc>
          <w:tcPr>
            <w:tcW w:type="dxa" w:w="1646"/>
            <w:tcBorders>
              <w:top w:val="single" w:color="CCCCCC" w:sz="2"/>
              <w:left w:val="single" w:color="CCCCCC" w:sz="2"/>
              <w:bottom w:val="single" w:color="CCCCCC" w:sz="2"/>
              <w:right w:val="single" w:color="CCCCCC" w:sz="2"/>
            </w:tcBorders>
            <w:shd w:fill="FEE2E2"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No</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Yes
best HIPAA path</w:t>
            </w:r>
          </w:p>
        </w:tc>
        <w:tc>
          <w:tcPr>
            <w:tcW w:type="dxa" w:w="1646"/>
            <w:tcBorders>
              <w:top w:val="single" w:color="CCCCCC" w:sz="2"/>
              <w:left w:val="single" w:color="CCCCCC" w:sz="2"/>
              <w:bottom w:val="single" w:color="CCCCCC" w:sz="2"/>
              <w:right w:val="single" w:color="CCCCCC" w:sz="2"/>
            </w:tcBorders>
            <w:shd w:fill="FEE2E2"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No</w:t>
            </w:r>
          </w:p>
        </w:tc>
        <w:tc>
          <w:tcPr>
            <w:tcW w:type="dxa" w:w="1646"/>
            <w:tcBorders>
              <w:top w:val="single" w:color="CCCCCC" w:sz="2"/>
              <w:left w:val="single" w:color="CCCCCC" w:sz="2"/>
              <w:bottom w:val="single" w:color="CCCCCC" w:sz="2"/>
              <w:right w:val="single" w:color="CCCCCC" w:sz="2"/>
            </w:tcBorders>
            <w:shd w:fill="FEE2E2"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No</w:t>
            </w:r>
          </w:p>
        </w:tc>
        <w:tc>
          <w:tcPr>
            <w:tcW w:type="dxa" w:w="1644"/>
            <w:tcBorders>
              <w:top w:val="single" w:color="CCCCCC" w:sz="2"/>
              <w:left w:val="single" w:color="CCCCCC" w:sz="2"/>
              <w:bottom w:val="single" w:color="CCCCCC" w:sz="2"/>
              <w:right w:val="single" w:color="CCCCCC" w:sz="2"/>
            </w:tcBorders>
            <w:shd w:fill="FEE2E2"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 No</w:t>
            </w:r>
          </w:p>
        </w:tc>
      </w:tr>
      <w:tr>
        <w:tc>
          <w:tcPr>
            <w:tcW w:type="dxa" w:w="13680"/>
            <w:gridSpan w:val="8"/>
            <w:tcBorders>
              <w:top w:val="single" w:color="333333" w:sz="2"/>
              <w:left w:val="single" w:color="333333" w:sz="2"/>
              <w:bottom w:val="single" w:color="333333" w:sz="2"/>
              <w:right w:val="single" w:color="333333" w:sz="2"/>
            </w:tcBorders>
            <w:shd w:fill="1E3A5F"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EVALUATION STATUS</w:t>
            </w:r>
          </w:p>
        </w:tc>
      </w:tr>
      <w:tr>
        <w:tc>
          <w:tcPr>
            <w:tcW w:type="dxa" w:w="2160"/>
            <w:tcBorders>
              <w:top w:val="single" w:color="CCCCCC" w:sz="2"/>
              <w:left w:val="single" w:color="CCCCCC" w:sz="2"/>
              <w:bottom w:val="single" w:color="CCCCCC" w:sz="2"/>
              <w:right w:val="single" w:color="CCCCCC" w:sz="2"/>
            </w:tcBorders>
            <w:shd w:fill="F1F5F9" w:val="clear"/>
            <w:tcMar>
              <w:top w:type="dxa" w:w="60"/>
              <w:left w:type="dxa" w:w="90"/>
              <w:bottom w:type="dxa" w:w="60"/>
              <w:right w:type="dxa" w:w="90"/>
            </w:tcMar>
            <w:vAlign w:val="top"/>
          </w:tcPr>
          <w:p>
            <w:pPr>
              <w:spacing w:after="0"/>
            </w:pPr>
            <w:r>
              <w:rPr>
                <w:rFonts w:ascii="Arial" w:cs="Arial" w:eastAsia="Arial" w:hAnsi="Arial"/>
                <w:b/>
                <w:bCs/>
                <w:sz w:val="17"/>
                <w:szCs w:val="17"/>
              </w:rPr>
              <w:t xml:space="preserve">Overall Status</w:t>
            </w:r>
          </w:p>
        </w:tc>
        <w:tc>
          <w:tcPr>
            <w:tcW w:type="dxa" w:w="1646"/>
            <w:tcBorders>
              <w:top w:val="single" w:color="CCCCCC" w:sz="2"/>
              <w:left w:val="single" w:color="CCCCCC" w:sz="2"/>
              <w:bottom w:val="single" w:color="CCCCCC" w:sz="2"/>
              <w:right w:val="single" w:color="CCCCCC" w:sz="2"/>
            </w:tcBorders>
            <w:shd w:fill="FEE2E2"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ELIMINATED
No HIPAA BAA</w:t>
            </w:r>
          </w:p>
        </w:tc>
        <w:tc>
          <w:tcPr>
            <w:tcW w:type="dxa" w:w="1646"/>
            <w:tcBorders>
              <w:top w:val="single" w:color="CCCCCC" w:sz="2"/>
              <w:left w:val="single" w:color="CCCCCC" w:sz="2"/>
              <w:bottom w:val="single" w:color="CCCCCC" w:sz="2"/>
              <w:right w:val="single" w:color="CCCCCC" w:sz="2"/>
            </w:tcBorders>
            <w:shd w:fill="BBFCD4"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TOP CONTENDER
Best price + AI</w:t>
            </w:r>
          </w:p>
        </w:tc>
        <w:tc>
          <w:tcPr>
            <w:tcW w:type="dxa" w:w="1646"/>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STRONG CONTENDER
HIPAA confirmed</w:t>
            </w:r>
          </w:p>
        </w:tc>
        <w:tc>
          <w:tcPr>
            <w:tcW w:type="dxa" w:w="1646"/>
            <w:tcBorders>
              <w:top w:val="single" w:color="CCCCCC" w:sz="2"/>
              <w:left w:val="single" w:color="CCCCCC" w:sz="2"/>
              <w:bottom w:val="single" w:color="CCCCCC" w:sz="2"/>
              <w:right w:val="single" w:color="CCCCCC" w:sz="2"/>
            </w:tcBorders>
            <w:shd w:fill="E0F2FE"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NICHE FIT
Self-host only</w:t>
            </w:r>
          </w:p>
        </w:tc>
        <w:tc>
          <w:tcPr>
            <w:tcW w:type="dxa" w:w="1646"/>
            <w:tcBorders>
              <w:top w:val="single" w:color="CCCCCC" w:sz="2"/>
              <w:left w:val="single" w:color="CCCCCC" w:sz="2"/>
              <w:bottom w:val="single" w:color="CCCCCC" w:sz="2"/>
              <w:right w:val="single" w:color="CCCCCC" w:sz="2"/>
            </w:tcBorders>
            <w:shd w:fill="FEF3C7"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COST RISK
Consumption AI</w:t>
            </w:r>
          </w:p>
        </w:tc>
        <w:tc>
          <w:tcPr>
            <w:tcW w:type="dxa" w:w="1646"/>
            <w:tcBorders>
              <w:top w:val="single" w:color="CCCCCC" w:sz="2"/>
              <w:left w:val="single" w:color="CCCCCC" w:sz="2"/>
              <w:bottom w:val="single" w:color="CCCCCC" w:sz="2"/>
              <w:right w:val="single" w:color="CCCCCC" w:sz="2"/>
            </w:tcBorders>
            <w:shd w:fill="E0F2FE"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COMPLEMENT ONLY
Not standalone</w:t>
            </w:r>
          </w:p>
        </w:tc>
        <w:tc>
          <w:tcPr>
            <w:tcW w:type="dxa" w:w="1644"/>
            <w:tcBorders>
              <w:top w:val="single" w:color="CCCCCC" w:sz="2"/>
              <w:left w:val="single" w:color="CCCCCC" w:sz="2"/>
              <w:bottom w:val="single" w:color="CCCCCC" w:sz="2"/>
              <w:right w:val="single" w:color="CCCCCC" w:sz="2"/>
            </w:tcBorders>
            <w:shd w:fill="D1FAE5" w:val="clear"/>
            <w:tcMar>
              <w:top w:type="dxa" w:w="60"/>
              <w:left w:type="dxa" w:w="70"/>
              <w:bottom w:type="dxa" w:w="60"/>
              <w:right w:type="dxa" w:w="70"/>
            </w:tcMar>
            <w:vAlign w:val="top"/>
          </w:tcPr>
          <w:p>
            <w:pPr>
              <w:spacing w:after="0"/>
              <w:jc w:val="center"/>
            </w:pPr>
            <w:r>
              <w:rPr>
                <w:rFonts w:ascii="Arial" w:cs="Arial" w:eastAsia="Arial" w:hAnsi="Arial"/>
                <w:sz w:val="16"/>
                <w:szCs w:val="16"/>
              </w:rPr>
              <w:t xml:space="preserve">STRONG CONTENDER
HIPAA confirmed</w:t>
            </w:r>
          </w:p>
        </w:tc>
      </w:tr>
    </w:tbl>
    <w:p>
      <w:pPr>
        <w:spacing w:after="80"/>
      </w:pPr>
      <w:r>
        <w:rPr>
          <w:rFonts w:ascii="Arial" w:cs="Arial" w:eastAsia="Arial" w:hAnsi="Arial"/>
          <w:sz w:val="22"/>
          <w:szCs w:val="22"/>
        </w:rPr>
        <w:t xml:space="preserve"/>
      </w:r>
    </w:p>
    <w:p>
      <w:pPr>
        <w:spacing w:after="0"/>
      </w:pPr>
      <w:r>
        <w:rPr>
          <w:rFonts w:ascii="Arial" w:cs="Arial" w:eastAsia="Arial" w:hAnsi="Arial"/>
          <w:i/>
          <w:iCs/>
          <w:color w:val="6B7280"/>
          <w:sz w:val="17"/>
          <w:szCs w:val="17"/>
        </w:rPr>
        <w:t xml:space="preserve">Notes: Pricing estimates based on publicly available information and sales team responses as of July 2026. All pricing subject to change. ✓ = Confirmed  ⚠ = Needs clarification  ✗ = Not available  ? = Unknown</w:t>
      </w:r>
    </w:p>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026"/>
      </w:tabs>
      <w:spacing w:before="80"/>
    </w:pPr>
    <w:r>
      <w:rPr>
        <w:rFonts w:ascii="Arial" w:cs="Arial" w:eastAsia="Arial" w:hAnsi="Arial"/>
        <w:color w:val="6B7280"/>
        <w:sz w:val="16"/>
        <w:szCs w:val="16"/>
      </w:rPr>
      <w:t xml:space="preserve">Graphium Health — Confidential — Support Platform Evaluation — July 2026</w:t>
    </w:r>
    <w:r>
      <w:rPr>
        <w:rFonts w:ascii="Arial" w:cs="Arial" w:eastAsia="Arial" w:hAnsi="Arial"/>
        <w:color w:val="6B7280"/>
        <w:sz w:val="16"/>
        <w:szCs w:val="16"/>
      </w:rPr>
      <w:t xml:space="preserv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026"/>
      </w:tabs>
      <w:spacing w:before="80"/>
    </w:pPr>
    <w:r>
      <w:rPr>
        <w:rFonts w:ascii="Arial" w:cs="Arial" w:eastAsia="Arial" w:hAnsi="Arial"/>
        <w:color w:val="6B7280"/>
        <w:sz w:val="16"/>
        <w:szCs w:val="16"/>
      </w:rPr>
      <w:t xml:space="preserve">Graphium Health — Confidential — Support Platform Evaluation — July 2026</w:t>
    </w:r>
    <w:r>
      <w:rPr>
        <w:rFonts w:ascii="Arial" w:cs="Arial" w:eastAsia="Arial" w:hAnsi="Arial"/>
        <w:color w:val="6B7280"/>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82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11827"/>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EA5E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2026-07-16T14:15:06.895Z</dcterms:created>
  <dcterms:modified xsi:type="dcterms:W3CDTF">2026-07-16T14:15:06.901Z</dcterms:modified>
</cp:coreProperties>
</file>

<file path=docProps/custom.xml><?xml version="1.0" encoding="utf-8"?>
<Properties xmlns="http://schemas.openxmlformats.org/officeDocument/2006/custom-properties" xmlns:vt="http://schemas.openxmlformats.org/officeDocument/2006/docPropsVTypes"/>
</file>