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p>
      <w:r>
        <w:br w:type="page"/>
      </w:r>
    </w:p>
    <w:p>
      <w:pPr>
        <w:pStyle w:val="Heading1"/>
      </w:pPr>
      <w:r>
        <w:rPr>
          <w:rFonts w:ascii="Arial" w:hAnsi="Arial"/>
          <w:b/>
          <w:color w:val="1B2A5E"/>
          <w:sz w:val="32"/>
        </w:rPr>
        <w:t>7. QC Checklist — What Still Needs Human Verification Before Final Slides</w:t>
      </w:r>
    </w:p>
    <w:p>
      <w:r>
        <w:rPr>
          <w:b/>
          <w:i w:val="0"/>
        </w:rPr>
        <w:t>This is a working checklist for the team. Items are grouped by urgency. None of these should appear on a final slide until checked off.</w:t>
      </w:r>
    </w:p>
    <w:p>
      <w:pPr>
        <w:pStyle w:val="Heading2"/>
      </w:pPr>
      <w:r>
        <w:rPr>
          <w:rFonts w:ascii="Arial" w:hAnsi="Arial"/>
          <w:b/>
          <w:color w:val="E87B22"/>
          <w:sz w:val="26"/>
        </w:rPr>
        <w:t>MUST VERIFY before slides go out (high risk if wrong)</w:t>
      </w:r>
    </w:p>
    <w:p>
      <w:pPr>
        <w:pStyle w:val="ListBullet"/>
      </w:pPr>
      <w:r>
        <w:t>PA 235 exact statutory text — we cited MPSC's summary pages, not the bill text itself (site blocked automated access). Someone should open the Michigan Legislature's PDF directly and confirm the 2,500 MW figure and Dec 31, 2029 deadline.</w:t>
      </w:r>
    </w:p>
    <w:p>
      <w:pPr>
        <w:pStyle w:val="ListBullet"/>
      </w:pPr>
      <w:r>
        <w:t>NRDC "Utility Accountability 101" — confirm our plain-language rate-base explanation matches NRDC's actual wording before quoting or citing it directly in a slide.</w:t>
      </w:r>
    </w:p>
    <w:p>
      <w:pPr>
        <w:pStyle w:val="ListBullet"/>
      </w:pPr>
      <w:r>
        <w:t>APTIM's Michigan presence — we searched APTIM's site and public MPSC/utility program pages and found nothing. Before presenting this as fact, do one more direct check (ask an APTIM contact, or search APTIM's project list page directly) in case a contract exists that simply isn't indexed publicly.</w:t>
      </w:r>
    </w:p>
    <w:p>
      <w:pPr>
        <w:pStyle w:val="ListBullet"/>
      </w:pPr>
      <w:r>
        <w:t>NREL ATB 2024 Residential Battery Storage figures — page identified but not accessible in our research pass. If we want a $/kW capital cost number beyond the MISO price proxy, someone needs to open atb.nrel.gov directly and pull the actual figures.</w:t>
      </w:r>
    </w:p>
    <w:p>
      <w:pPr>
        <w:pStyle w:val="Heading2"/>
      </w:pPr>
      <w:r>
        <w:rPr>
          <w:rFonts w:ascii="Arial" w:hAnsi="Arial"/>
          <w:b/>
          <w:color w:val="E87B22"/>
          <w:sz w:val="26"/>
        </w:rPr>
        <w:t>SHOULD VERIFY (moderate risk, strengthens the pitch if confirmed)</w:t>
      </w:r>
    </w:p>
    <w:p>
      <w:pPr>
        <w:pStyle w:val="ListBullet"/>
      </w:pPr>
      <w:r>
        <w:t>Green Mountain Power's own tariff filing — we cited installer names (Green Mountain Solar, Green Mountain Batteries) from installer marketing pages and a secondary case study, not GMP's own regulatory filing (which returned an access error). Worth confirming directly if time allows.</w:t>
      </w:r>
    </w:p>
    <w:p>
      <w:pPr>
        <w:pStyle w:val="ListBullet"/>
      </w:pPr>
      <w:r>
        <w:t>Whether Consumers Energy has any residential storage-relevant contractor network — no evidence found either way. This is an open question, not a confirmed gap; a direct search of Consumers' program pages could resolve it.</w:t>
      </w:r>
    </w:p>
    <w:p>
      <w:pPr>
        <w:pStyle w:val="ListBullet"/>
      </w:pPr>
      <w:r>
        <w:t>DTE and Consumers IRP filings (Case Nos. U-21193 and U-21090) — we cited the MW storage targets from search summaries. If this number appears on a slide Sam will scrutinize, pull the actual IRP order from MPSC's E-Dockets site to confirm.</w:t>
      </w:r>
    </w:p>
    <w:p>
      <w:pPr>
        <w:pStyle w:val="Heading2"/>
      </w:pPr>
      <w:r>
        <w:rPr>
          <w:rFonts w:ascii="Arial" w:hAnsi="Arial"/>
          <w:b/>
          <w:color w:val="E87B22"/>
          <w:sz w:val="26"/>
        </w:rPr>
        <w:t>OPEN QUESTIONS (not verification failures — genuine unknowns the team should address as part of the pitch, not resolve unilaterally)</w:t>
      </w:r>
    </w:p>
    <w:p>
      <w:pPr>
        <w:pStyle w:val="ListBullet"/>
      </w:pPr>
      <w:r>
        <w:t>Whether Michigan has interconnection rules for utility-owned (vs. customer-owned) residential batteries. This may be a real regulatory gap — acceptable to present as "a question we would work through with MPSC," not something to guess an answer to.</w:t>
      </w:r>
    </w:p>
    <w:p>
      <w:pPr>
        <w:pStyle w:val="ListBullet"/>
      </w:pPr>
      <w:r>
        <w:t>RFP timing, APTIM's fee structure, and installer selection — these are team decisions, not research questions. See Section 5.</w:t>
      </w:r>
    </w:p>
    <w:p>
      <w:pPr>
        <w:pStyle w:val="Heading1"/>
      </w:pPr>
      <w:r>
        <w:rPr>
          <w:rFonts w:ascii="Arial" w:hAnsi="Arial"/>
          <w:b/>
          <w:color w:val="1B2A5E"/>
          <w:sz w:val="32"/>
        </w:rPr>
        <w:t>8. Source Links</w:t>
      </w:r>
    </w:p>
    <w:p>
      <w:r>
        <w:rPr>
          <w:b/>
          <w:i w:val="0"/>
        </w:rPr>
        <w:t>Direct links for QC. Click through and confirm before citing any of these on a final slide.</w:t>
      </w:r>
    </w:p>
    <w:p>
      <w:pPr>
        <w:pStyle w:val="Heading2"/>
      </w:pPr>
      <w:r>
        <w:rPr>
          <w:rFonts w:ascii="Arial" w:hAnsi="Arial"/>
          <w:b/>
          <w:color w:val="E87B22"/>
          <w:sz w:val="26"/>
        </w:rPr>
        <w:t>Michigan Regulatory (MPSC)</w:t>
      </w:r>
    </w:p>
    <w:p>
      <w:pPr>
        <w:pStyle w:val="ListBullet"/>
      </w:pPr>
      <w:r>
        <w:rPr>
          <w:rFonts w:ascii="Arial" w:hAnsi="Arial"/>
          <w:sz w:val="22"/>
        </w:rPr>
        <w:t xml:space="preserve">PA 235 storage target summary: </w:t>
      </w:r>
      <w:hyperlink r:id="rId9">
        <w:r>
          <w:rPr>
            <w:color w:val="0563C1"/>
            <w:u w:val="single"/>
            <w:rFonts w:ascii="Arial" w:hAnsi="Arial"/>
            <w:sz w:val="18"/>
          </w:rPr>
          <w:t>MPSC Statewide Energy Storage Target page</w:t>
        </w:r>
      </w:hyperlink>
    </w:p>
    <w:p>
      <w:pPr>
        <w:pStyle w:val="ListBullet"/>
      </w:pPr>
      <w:r>
        <w:rPr>
          <w:rFonts w:ascii="Arial" w:hAnsi="Arial"/>
          <w:sz w:val="22"/>
        </w:rPr>
        <w:t xml:space="preserve">MPSC battery contract approvals (Mar 27, 2026): </w:t>
      </w:r>
      <w:hyperlink r:id="rId10">
        <w:r>
          <w:rPr>
            <w:color w:val="0563C1"/>
            <w:u w:val="single"/>
            <w:rFonts w:ascii="Arial" w:hAnsi="Arial"/>
            <w:sz w:val="18"/>
          </w:rPr>
          <w:t>MPSC news release</w:t>
        </w:r>
      </w:hyperlink>
    </w:p>
    <w:p>
      <w:pPr>
        <w:pStyle w:val="ListBullet"/>
      </w:pPr>
      <w:r>
        <w:rPr>
          <w:rFonts w:ascii="Arial" w:hAnsi="Arial"/>
          <w:sz w:val="22"/>
        </w:rPr>
        <w:t xml:space="preserve">Michigan Distributed Generation / Legacy Net Metering: </w:t>
      </w:r>
      <w:hyperlink r:id="rId11">
        <w:r>
          <w:rPr>
            <w:color w:val="0563C1"/>
            <w:u w:val="single"/>
            <w:rFonts w:ascii="Arial" w:hAnsi="Arial"/>
            <w:sz w:val="18"/>
          </w:rPr>
          <w:t>MPSC DG &amp; LNM page</w:t>
        </w:r>
      </w:hyperlink>
    </w:p>
    <w:p>
      <w:pPr>
        <w:pStyle w:val="ListBullet"/>
      </w:pPr>
      <w:r>
        <w:rPr>
          <w:rFonts w:ascii="Arial" w:hAnsi="Arial"/>
          <w:sz w:val="22"/>
        </w:rPr>
        <w:t xml:space="preserve">PA 235 full text (attempt directly — blocked in our automated pass): </w:t>
      </w:r>
      <w:hyperlink r:id="rId12">
        <w:r>
          <w:rPr>
            <w:color w:val="0563C1"/>
            <w:u w:val="single"/>
            <w:rFonts w:ascii="Arial" w:hAnsi="Arial"/>
            <w:sz w:val="18"/>
          </w:rPr>
          <w:t>Michigan Legislature PA 235 PDF</w:t>
        </w:r>
      </w:hyperlink>
    </w:p>
    <w:p>
      <w:pPr>
        <w:pStyle w:val="ListBullet"/>
      </w:pPr>
      <w:r>
        <w:rPr>
          <w:rFonts w:ascii="Arial" w:hAnsi="Arial"/>
          <w:sz w:val="22"/>
        </w:rPr>
        <w:t xml:space="preserve">MPSC Long-Duration/Multi-Day Storage study: </w:t>
      </w:r>
      <w:hyperlink r:id="rId13">
        <w:r>
          <w:rPr>
            <w:color w:val="0563C1"/>
            <w:u w:val="single"/>
            <w:rFonts w:ascii="Arial" w:hAnsi="Arial"/>
            <w:sz w:val="18"/>
          </w:rPr>
          <w:t>MPSC LDES/MDES study</w:t>
        </w:r>
      </w:hyperlink>
    </w:p>
    <w:p>
      <w:pPr>
        <w:pStyle w:val="ListBullet"/>
      </w:pPr>
      <w:r>
        <w:rPr>
          <w:rFonts w:ascii="Arial" w:hAnsi="Arial"/>
          <w:sz w:val="22"/>
        </w:rPr>
        <w:t xml:space="preserve">MPSC PRA Issue Brief (historical Zone 7 pricing): </w:t>
      </w:r>
      <w:hyperlink r:id="rId14">
        <w:r>
          <w:rPr>
            <w:color w:val="0563C1"/>
            <w:u w:val="single"/>
            <w:rFonts w:ascii="Arial" w:hAnsi="Arial"/>
            <w:sz w:val="18"/>
          </w:rPr>
          <w:t>MPSC PRA Issue Brief</w:t>
        </w:r>
      </w:hyperlink>
    </w:p>
    <w:p>
      <w:pPr>
        <w:pStyle w:val="Heading2"/>
      </w:pPr>
      <w:r>
        <w:rPr>
          <w:rFonts w:ascii="Arial" w:hAnsi="Arial"/>
          <w:b/>
          <w:color w:val="E87B22"/>
          <w:sz w:val="26"/>
        </w:rPr>
        <w:t>MISO Capacity Market</w:t>
      </w:r>
    </w:p>
    <w:p>
      <w:pPr>
        <w:pStyle w:val="ListBullet"/>
      </w:pPr>
      <w:r>
        <w:rPr>
          <w:rFonts w:ascii="Arial" w:hAnsi="Arial"/>
          <w:sz w:val="22"/>
        </w:rPr>
        <w:t xml:space="preserve">PY 2024/25 PRA results: </w:t>
      </w:r>
      <w:hyperlink r:id="rId15">
        <w:r>
          <w:rPr>
            <w:color w:val="0563C1"/>
            <w:u w:val="single"/>
            <w:rFonts w:ascii="Arial" w:hAnsi="Arial"/>
            <w:sz w:val="18"/>
          </w:rPr>
          <w:t>MISO PRA Results Posting</w:t>
        </w:r>
      </w:hyperlink>
    </w:p>
    <w:p>
      <w:pPr>
        <w:pStyle w:val="ListBullet"/>
      </w:pPr>
      <w:r>
        <w:rPr>
          <w:rFonts w:ascii="Arial" w:hAnsi="Arial"/>
          <w:sz w:val="22"/>
        </w:rPr>
        <w:t xml:space="preserve">PY 2025/26 PRA results: </w:t>
      </w:r>
      <w:hyperlink r:id="rId16">
        <w:r>
          <w:rPr>
            <w:color w:val="0563C1"/>
            <w:u w:val="single"/>
            <w:rFonts w:ascii="Arial" w:hAnsi="Arial"/>
            <w:sz w:val="18"/>
          </w:rPr>
          <w:t>MISO PRA Results Posting</w:t>
        </w:r>
      </w:hyperlink>
    </w:p>
    <w:p>
      <w:pPr>
        <w:pStyle w:val="ListBullet"/>
      </w:pPr>
      <w:r>
        <w:rPr>
          <w:rFonts w:ascii="Arial" w:hAnsi="Arial"/>
          <w:sz w:val="22"/>
        </w:rPr>
        <w:t xml:space="preserve">PY 2026/27 PRA results (Michigan Zone 7): </w:t>
      </w:r>
      <w:hyperlink r:id="rId17">
        <w:r>
          <w:rPr>
            <w:color w:val="0563C1"/>
            <w:u w:val="single"/>
            <w:rFonts w:ascii="Arial" w:hAnsi="Arial"/>
            <w:sz w:val="18"/>
          </w:rPr>
          <w:t>MISO PRA Results Posting</w:t>
        </w:r>
      </w:hyperlink>
    </w:p>
    <w:p>
      <w:pPr>
        <w:pStyle w:val="ListBullet"/>
      </w:pPr>
      <w:r>
        <w:rPr>
          <w:rFonts w:ascii="Arial" w:hAnsi="Arial"/>
          <w:sz w:val="22"/>
        </w:rPr>
        <w:t xml:space="preserve">Utility Dive coverage of the 2025/26 spike: </w:t>
      </w:r>
      <w:hyperlink r:id="rId18">
        <w:r>
          <w:rPr>
            <w:color w:val="0563C1"/>
            <w:u w:val="single"/>
            <w:rFonts w:ascii="Arial" w:hAnsi="Arial"/>
            <w:sz w:val="18"/>
          </w:rPr>
          <w:t>Utility Dive article</w:t>
        </w:r>
      </w:hyperlink>
    </w:p>
    <w:p>
      <w:pPr>
        <w:pStyle w:val="Heading2"/>
      </w:pPr>
      <w:r>
        <w:rPr>
          <w:rFonts w:ascii="Arial" w:hAnsi="Arial"/>
          <w:b/>
          <w:color w:val="E87B22"/>
          <w:sz w:val="26"/>
        </w:rPr>
        <w:t>Green Mountain Power / Installer Precedent</w:t>
      </w:r>
    </w:p>
    <w:p>
      <w:pPr>
        <w:pStyle w:val="ListBullet"/>
      </w:pPr>
      <w:r>
        <w:rPr>
          <w:rFonts w:ascii="Arial" w:hAnsi="Arial"/>
          <w:sz w:val="22"/>
        </w:rPr>
        <w:t xml:space="preserve">Green Mountain Solar (Tesla-certified installer): </w:t>
      </w:r>
      <w:hyperlink r:id="rId19">
        <w:r>
          <w:rPr>
            <w:color w:val="0563C1"/>
            <w:u w:val="single"/>
            <w:rFonts w:ascii="Arial" w:hAnsi="Arial"/>
            <w:sz w:val="18"/>
          </w:rPr>
          <w:t>Green Mountain Solar page</w:t>
        </w:r>
      </w:hyperlink>
    </w:p>
    <w:p>
      <w:pPr>
        <w:pStyle w:val="ListBullet"/>
      </w:pPr>
      <w:r>
        <w:rPr>
          <w:rFonts w:ascii="Arial" w:hAnsi="Arial"/>
          <w:sz w:val="22"/>
        </w:rPr>
        <w:t xml:space="preserve">Green Mountain Batteries (GMP preferred installer): </w:t>
      </w:r>
      <w:hyperlink r:id="rId20">
        <w:r>
          <w:rPr>
            <w:color w:val="0563C1"/>
            <w:u w:val="single"/>
            <w:rFonts w:ascii="Arial" w:hAnsi="Arial"/>
            <w:sz w:val="18"/>
          </w:rPr>
          <w:t>Green Mountain Batteries site</w:t>
        </w:r>
      </w:hyperlink>
    </w:p>
    <w:p>
      <w:pPr>
        <w:pStyle w:val="ListBullet"/>
      </w:pPr>
      <w:r>
        <w:rPr>
          <w:rFonts w:ascii="Arial" w:hAnsi="Arial"/>
          <w:sz w:val="22"/>
        </w:rPr>
        <w:t xml:space="preserve">Tesla Certified Installer network: </w:t>
      </w:r>
      <w:hyperlink r:id="rId21">
        <w:r>
          <w:rPr>
            <w:color w:val="0563C1"/>
            <w:u w:val="single"/>
            <w:rFonts w:ascii="Arial" w:hAnsi="Arial"/>
            <w:sz w:val="18"/>
          </w:rPr>
          <w:t>Tesla installer page</w:t>
        </w:r>
      </w:hyperlink>
    </w:p>
    <w:p>
      <w:pPr>
        <w:pStyle w:val="ListBullet"/>
      </w:pPr>
      <w:r>
        <w:rPr>
          <w:rFonts w:ascii="Arial" w:hAnsi="Arial"/>
          <w:sz w:val="22"/>
        </w:rPr>
        <w:t xml:space="preserve">EnergySage case study on GMP program history: </w:t>
      </w:r>
      <w:hyperlink r:id="rId22">
        <w:r>
          <w:rPr>
            <w:color w:val="0563C1"/>
            <w:u w:val="single"/>
            <w:rFonts w:ascii="Arial" w:hAnsi="Arial"/>
            <w:sz w:val="18"/>
          </w:rPr>
          <w:t>EnergySage article</w:t>
        </w:r>
      </w:hyperlink>
    </w:p>
    <w:p>
      <w:pPr>
        <w:pStyle w:val="ListBullet"/>
      </w:pPr>
      <w:r>
        <w:rPr>
          <w:rFonts w:ascii="Arial" w:hAnsi="Arial"/>
          <w:sz w:val="22"/>
        </w:rPr>
        <w:t xml:space="preserve">GMP tariff/lease PDF (attempt directly — blocked in our automated pass): </w:t>
      </w:r>
      <w:hyperlink r:id="rId23">
        <w:r>
          <w:rPr>
            <w:color w:val="0563C1"/>
            <w:u w:val="single"/>
            <w:rFonts w:ascii="Arial" w:hAnsi="Arial"/>
            <w:sz w:val="18"/>
          </w:rPr>
          <w:t>GMP tariff PDF</w:t>
        </w:r>
      </w:hyperlink>
    </w:p>
    <w:p>
      <w:pPr>
        <w:pStyle w:val="Heading2"/>
      </w:pPr>
      <w:r>
        <w:rPr>
          <w:rFonts w:ascii="Arial" w:hAnsi="Arial"/>
          <w:b/>
          <w:color w:val="E87B22"/>
          <w:sz w:val="26"/>
        </w:rPr>
        <w:t>DTE / Consumers Energy Programs</w:t>
      </w:r>
    </w:p>
    <w:p>
      <w:pPr>
        <w:pStyle w:val="ListBullet"/>
      </w:pPr>
      <w:r>
        <w:rPr>
          <w:rFonts w:ascii="Arial" w:hAnsi="Arial"/>
          <w:sz w:val="22"/>
        </w:rPr>
        <w:t xml:space="preserve">DTE Smart Savers / thermostat program terms: </w:t>
      </w:r>
      <w:hyperlink r:id="rId24">
        <w:r>
          <w:rPr>
            <w:color w:val="0563C1"/>
            <w:u w:val="single"/>
            <w:rFonts w:ascii="Arial" w:hAnsi="Arial"/>
            <w:sz w:val="18"/>
          </w:rPr>
          <w:t>DTE SmartCurrents Terms</w:t>
        </w:r>
      </w:hyperlink>
    </w:p>
    <w:p>
      <w:pPr>
        <w:pStyle w:val="ListBullet"/>
      </w:pPr>
      <w:r>
        <w:rPr>
          <w:rFonts w:ascii="Arial" w:hAnsi="Arial"/>
          <w:sz w:val="22"/>
        </w:rPr>
        <w:t xml:space="preserve">Thermostat Rewards / DTE FAQ: </w:t>
      </w:r>
      <w:hyperlink r:id="rId25">
        <w:r>
          <w:rPr>
            <w:color w:val="0563C1"/>
            <w:u w:val="single"/>
            <w:rFonts w:ascii="Arial" w:hAnsi="Arial"/>
            <w:sz w:val="18"/>
          </w:rPr>
          <w:t>Thermostat Rewards FAQ</w:t>
        </w:r>
      </w:hyperlink>
    </w:p>
    <w:p>
      <w:pPr>
        <w:pStyle w:val="ListBullet"/>
      </w:pPr>
      <w:r>
        <w:rPr>
          <w:rFonts w:ascii="Arial" w:hAnsi="Arial"/>
          <w:sz w:val="22"/>
        </w:rPr>
        <w:t xml:space="preserve">APTIM's own energy efficiency/electrification capability page (general, not Michigan-specific): </w:t>
      </w:r>
      <w:hyperlink r:id="rId26">
        <w:r>
          <w:rPr>
            <w:color w:val="0563C1"/>
            <w:u w:val="single"/>
            <w:rFonts w:ascii="Arial" w:hAnsi="Arial"/>
            <w:sz w:val="18"/>
          </w:rPr>
          <w:t>APTIM services page</w:t>
        </w:r>
      </w:hyperlink>
    </w:p>
    <w:p>
      <w:pPr>
        <w:pStyle w:val="ListBullet"/>
      </w:pPr>
      <w:r>
        <w:rPr>
          <w:rFonts w:ascii="Arial" w:hAnsi="Arial"/>
          <w:sz w:val="22"/>
        </w:rPr>
        <w:t xml:space="preserve">APTIM Entergy New Orleans Energy Smart project page (for comparison — confirmed APTIM contract, different state): </w:t>
      </w:r>
      <w:hyperlink r:id="rId27">
        <w:r>
          <w:rPr>
            <w:color w:val="0563C1"/>
            <w:u w:val="single"/>
            <w:rFonts w:ascii="Arial" w:hAnsi="Arial"/>
            <w:sz w:val="18"/>
          </w:rPr>
          <w:t>APTIM Energy Smart project page</w:t>
        </w:r>
      </w:hyperlink>
    </w:p>
    <w:p>
      <w:pPr>
        <w:pStyle w:val="Heading2"/>
      </w:pPr>
      <w:r>
        <w:rPr>
          <w:rFonts w:ascii="Arial" w:hAnsi="Arial"/>
          <w:b/>
          <w:color w:val="E87B22"/>
          <w:sz w:val="26"/>
        </w:rPr>
        <w:t>Rate-Basing / Regulatory Economics Background</w:t>
      </w:r>
    </w:p>
    <w:p>
      <w:pPr>
        <w:pStyle w:val="ListBullet"/>
      </w:pPr>
      <w:r>
        <w:rPr>
          <w:rFonts w:ascii="Arial" w:hAnsi="Arial"/>
          <w:sz w:val="22"/>
        </w:rPr>
        <w:t xml:space="preserve">NRDC — Utility Accountability 101 (verify exact wording before quoting): </w:t>
      </w:r>
      <w:hyperlink r:id="rId28">
        <w:r>
          <w:rPr>
            <w:color w:val="0563C1"/>
            <w:u w:val="single"/>
            <w:rFonts w:ascii="Arial" w:hAnsi="Arial"/>
            <w:sz w:val="18"/>
          </w:rPr>
          <w:t>NRDC article</w:t>
        </w:r>
      </w:hyperlink>
    </w:p>
    <w:p>
      <w:pPr>
        <w:pStyle w:val="ListBullet"/>
      </w:pPr>
      <w:r>
        <w:rPr>
          <w:rFonts w:ascii="Arial" w:hAnsi="Arial"/>
          <w:sz w:val="22"/>
        </w:rPr>
        <w:t xml:space="preserve">EIA — How electricity prices are regulated: </w:t>
      </w:r>
      <w:hyperlink r:id="rId29">
        <w:r>
          <w:rPr>
            <w:color w:val="0563C1"/>
            <w:u w:val="single"/>
            <w:rFonts w:ascii="Arial" w:hAnsi="Arial"/>
            <w:sz w:val="18"/>
          </w:rPr>
          <w:t>EIA explainer</w:t>
        </w:r>
      </w:hyperlink>
    </w:p>
    <w:p>
      <w:pPr>
        <w:pStyle w:val="Heading2"/>
      </w:pPr>
      <w:r>
        <w:rPr>
          <w:rFonts w:ascii="Arial" w:hAnsi="Arial"/>
          <w:b/>
          <w:color w:val="E87B22"/>
          <w:sz w:val="26"/>
        </w:rPr>
        <w:t>PPA Background (for the distinction in Section 1)</w:t>
      </w:r>
    </w:p>
    <w:p>
      <w:pPr>
        <w:pStyle w:val="ListBullet"/>
      </w:pPr>
      <w:r>
        <w:rPr>
          <w:rFonts w:ascii="Arial" w:hAnsi="Arial"/>
          <w:sz w:val="22"/>
        </w:rPr>
        <w:t xml:space="preserve">renewabl.com — PPAs Explained: </w:t>
      </w:r>
      <w:hyperlink r:id="rId30">
        <w:r>
          <w:rPr>
            <w:color w:val="0563C1"/>
            <w:u w:val="single"/>
            <w:rFonts w:ascii="Arial" w:hAnsi="Arial"/>
            <w:sz w:val="18"/>
          </w:rPr>
          <w:t>renewabl.com guide</w:t>
        </w:r>
      </w:hyperlink>
    </w:p>
    <w:p>
      <w:pPr>
        <w:pStyle w:val="ListBullet"/>
      </w:pPr>
      <w:r>
        <w:rPr>
          <w:rFonts w:ascii="Arial" w:hAnsi="Arial"/>
          <w:sz w:val="22"/>
        </w:rPr>
        <w:t xml:space="preserve">EPA — Physical PPA explainer: </w:t>
      </w:r>
      <w:hyperlink r:id="rId31">
        <w:r>
          <w:rPr>
            <w:color w:val="0563C1"/>
            <w:u w:val="single"/>
            <w:rFonts w:ascii="Arial" w:hAnsi="Arial"/>
            <w:sz w:val="18"/>
          </w:rPr>
          <w:t>EPA PPA page</w:t>
        </w:r>
      </w:hyperlink>
    </w:p>
    <w:p>
      <w:pPr>
        <w:pStyle w:val="Heading2"/>
      </w:pPr>
      <w:r>
        <w:rPr>
          <w:rFonts w:ascii="Arial" w:hAnsi="Arial"/>
          <w:b/>
          <w:color w:val="E87B22"/>
          <w:sz w:val="26"/>
        </w:rPr>
        <w:t>Other Alex-Suggested Resources (for team context, not yet cited in this doc)</w:t>
      </w:r>
    </w:p>
    <w:p>
      <w:pPr>
        <w:pStyle w:val="ListBullet"/>
      </w:pPr>
      <w:r>
        <w:rPr>
          <w:rFonts w:ascii="Arial" w:hAnsi="Arial"/>
          <w:sz w:val="22"/>
        </w:rPr>
        <w:t xml:space="preserve">LBNL — transmission interconnection backlog easing in 2025: </w:t>
      </w:r>
      <w:hyperlink r:id="rId32">
        <w:r>
          <w:rPr>
            <w:color w:val="0563C1"/>
            <w:u w:val="single"/>
            <w:rFonts w:ascii="Arial" w:hAnsi="Arial"/>
            <w:sz w:val="18"/>
          </w:rPr>
          <w:t>LBNL article</w:t>
        </w:r>
      </w:hyperlink>
    </w:p>
    <w:p>
      <w:pPr>
        <w:pStyle w:val="ListBullet"/>
      </w:pPr>
      <w:r>
        <w:rPr>
          <w:rFonts w:ascii="Arial" w:hAnsi="Arial"/>
          <w:sz w:val="22"/>
        </w:rPr>
        <w:t xml:space="preserve">Sunlit Energy — Utility-Scale BESS Guide: </w:t>
      </w:r>
      <w:hyperlink r:id="rId33">
        <w:r>
          <w:rPr>
            <w:color w:val="0563C1"/>
            <w:u w:val="single"/>
            <w:rFonts w:ascii="Arial" w:hAnsi="Arial"/>
            <w:sz w:val="18"/>
          </w:rPr>
          <w:t>Sunlit Energy guide</w:t>
        </w:r>
      </w:hyperlink>
    </w:p>
    <w:p>
      <w:pPr>
        <w:pStyle w:val="ListBullet"/>
      </w:pPr>
      <w:r>
        <w:rPr>
          <w:rFonts w:ascii="Arial" w:hAnsi="Arial"/>
          <w:sz w:val="22"/>
        </w:rPr>
        <w:t xml:space="preserve">PV Magazine — Roadrunner Reserve (AZ utility-scale storage example): </w:t>
      </w:r>
      <w:hyperlink r:id="rId34">
        <w:r>
          <w:rPr>
            <w:color w:val="0563C1"/>
            <w:u w:val="single"/>
            <w:rFonts w:ascii="Arial" w:hAnsi="Arial"/>
            <w:sz w:val="18"/>
          </w:rPr>
          <w:t>PV Magazine article</w:t>
        </w:r>
      </w:hyperlink>
    </w:p>
    <w:p>
      <w:pPr>
        <w:pStyle w:val="ListBullet"/>
      </w:pPr>
      <w:r>
        <w:rPr>
          <w:rFonts w:ascii="Arial" w:hAnsi="Arial"/>
          <w:sz w:val="22"/>
        </w:rPr>
        <w:t xml:space="preserve">Solar Tech Online — Net Metering Guide: </w:t>
      </w:r>
      <w:hyperlink r:id="rId35">
        <w:r>
          <w:rPr>
            <w:color w:val="0563C1"/>
            <w:u w:val="single"/>
            <w:rFonts w:ascii="Arial" w:hAnsi="Arial"/>
            <w:sz w:val="18"/>
          </w:rPr>
          <w:t>Solar Tech Online guide</w:t>
        </w:r>
      </w:hyperlink>
    </w:p>
    <w:p>
      <w:pPr>
        <w:pStyle w:val="ListBullet"/>
      </w:pPr>
      <w:r>
        <w:rPr>
          <w:rFonts w:ascii="Arial" w:hAnsi="Arial"/>
          <w:sz w:val="22"/>
        </w:rPr>
        <w:t xml:space="preserve">ResLink — Solar tax credit qualification after the July 4 deadline: </w:t>
      </w:r>
      <w:hyperlink r:id="rId36">
        <w:r>
          <w:rPr>
            <w:color w:val="0563C1"/>
            <w:u w:val="single"/>
            <w:rFonts w:ascii="Arial" w:hAnsi="Arial"/>
            <w:sz w:val="18"/>
          </w:rPr>
          <w:t>ResLink article</w:t>
        </w:r>
      </w:hyperlink>
    </w:p>
    <w:p>
      <w:r>
        <w:br w:type="page"/>
      </w:r>
    </w:p>
    <w:p>
      <w:pPr>
        <w:pStyle w:val="Heading1"/>
      </w:pPr>
      <w:r>
        <w:rPr>
          <w:rFonts w:ascii="Arial" w:hAnsi="Arial"/>
          <w:b/>
          <w:color w:val="1B2A5E"/>
          <w:sz w:val="32"/>
        </w:rPr>
        <w:t>9. Cost Structure — Sourced Analysis (v5 Addition)</w:t>
      </w:r>
    </w:p>
    <w:p>
      <w:r>
        <w:rPr>
          <w:b/>
          <w:i w:val="0"/>
        </w:rPr>
        <w:t>A correction from this round of research: the DTE case number previously cited (U-20561) is DTE's 2020 rate case, NOT the 2022 case that reportedly rejected a residential battery pilot. The correct case number and MPSC's stated rationale could not be confirmed from primary sources in this research pass. DO NOT cite U-20561 in connection with the battery pilot rejection. This has been corrected on the presentation slide; flagged here for the written record.</w:t>
      </w:r>
    </w:p>
    <w:p>
      <w:pPr>
        <w:pStyle w:val="Heading2"/>
      </w:pPr>
      <w:r>
        <w:rPr>
          <w:rFonts w:ascii="Arial" w:hAnsi="Arial"/>
          <w:b/>
          <w:color w:val="E87B22"/>
          <w:sz w:val="26"/>
        </w:rPr>
        <w:t>What Real Programs Actually Charge — Verified vs. Unverified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Status</w:t>
            </w:r>
          </w:p>
        </w:tc>
        <w:tc>
          <w:tcPr>
            <w:tcW w:type="dxa" w:w="2880"/>
          </w:tcPr>
          <w:p>
            <w:r/>
            <w:r>
              <w:rPr>
                <w:b/>
              </w:rPr>
              <w:t>Detail</w:t>
            </w:r>
          </w:p>
        </w:tc>
      </w:tr>
      <w:tr>
        <w:tc>
          <w:tcPr>
            <w:tcW w:type="dxa" w:w="2880"/>
          </w:tcPr>
          <w:p>
            <w:r>
              <w:t>GMP Powerwall customer price</w:t>
            </w:r>
          </w:p>
        </w:tc>
        <w:tc>
          <w:tcPr>
            <w:tcW w:type="dxa" w:w="2880"/>
          </w:tcPr>
          <w:p>
            <w:r>
              <w:t>VERIFIED</w:t>
            </w:r>
          </w:p>
        </w:tc>
        <w:tc>
          <w:tcPr>
            <w:tcW w:type="dxa" w:w="2880"/>
          </w:tcPr>
          <w:p>
            <w:r>
              <w:t>$55/month or $5,500 upfront for 2 Powerwalls</w:t>
            </w:r>
          </w:p>
        </w:tc>
      </w:tr>
      <w:tr>
        <w:tc>
          <w:tcPr>
            <w:tcW w:type="dxa" w:w="2880"/>
          </w:tcPr>
          <w:p>
            <w:r>
              <w:t>Retail Powerwall + install cost</w:t>
            </w:r>
          </w:p>
        </w:tc>
        <w:tc>
          <w:tcPr>
            <w:tcW w:type="dxa" w:w="2880"/>
          </w:tcPr>
          <w:p>
            <w:r>
              <w:t>VERIFIED (retail estimate)</w:t>
            </w:r>
          </w:p>
        </w:tc>
        <w:tc>
          <w:tcPr>
            <w:tcW w:type="dxa" w:w="2880"/>
          </w:tcPr>
          <w:p>
            <w:r>
              <w:t>~$8,200-9,300/unit hardware; $10,000-15,000/unit fully installed (consumer retail pricing, not utility procurement)</w:t>
            </w:r>
          </w:p>
        </w:tc>
      </w:tr>
      <w:tr>
        <w:tc>
          <w:tcPr>
            <w:tcW w:type="dxa" w:w="2880"/>
          </w:tcPr>
          <w:p>
            <w:r>
              <w:t>GMP cost-allocation split (customer vs. rate base)</w:t>
            </w:r>
          </w:p>
        </w:tc>
        <w:tc>
          <w:tcPr>
            <w:tcW w:type="dxa" w:w="2880"/>
          </w:tcPr>
          <w:p>
            <w:r>
              <w:t>UNVERIFIED</w:t>
            </w:r>
          </w:p>
        </w:tc>
        <w:tc>
          <w:tcPr>
            <w:tcW w:type="dxa" w:w="2880"/>
          </w:tcPr>
          <w:p>
            <w:r>
              <w:t>GMP's own language ("benefits all GMP customers") suggests rate-base cost-sharing, but the exact reconciliation was not found in an accessible primary tariff filing</w:t>
            </w:r>
          </w:p>
        </w:tc>
      </w:tr>
      <w:tr>
        <w:tc>
          <w:tcPr>
            <w:tcW w:type="dxa" w:w="2880"/>
          </w:tcPr>
          <w:p>
            <w:r>
              <w:t>Federal EECBG admin fee cap</w:t>
            </w:r>
          </w:p>
        </w:tc>
        <w:tc>
          <w:tcPr>
            <w:tcW w:type="dxa" w:w="2880"/>
          </w:tcPr>
          <w:p>
            <w:r>
              <w:t>VERIFIED</w:t>
            </w:r>
          </w:p>
        </w:tc>
        <w:tc>
          <w:tcPr>
            <w:tcW w:type="dxa" w:w="2880"/>
          </w:tcPr>
          <w:p>
            <w:r>
              <w:t>10% of program funds (or $75,000 floor for local governments) -- DOE program rule. This is a federal block-grant analog, not a utility DSM benchmark specifically</w:t>
            </w:r>
          </w:p>
        </w:tc>
      </w:tr>
      <w:tr>
        <w:tc>
          <w:tcPr>
            <w:tcW w:type="dxa" w:w="2880"/>
          </w:tcPr>
          <w:p>
            <w:r>
              <w:t>DSM industry "10-20% of budget" admin benchmark</w:t>
            </w:r>
          </w:p>
        </w:tc>
        <w:tc>
          <w:tcPr>
            <w:tcW w:type="dxa" w:w="2880"/>
          </w:tcPr>
          <w:p>
            <w:r>
              <w:t>UNVERIFIED</w:t>
            </w:r>
          </w:p>
        </w:tc>
        <w:tc>
          <w:tcPr>
            <w:tcW w:type="dxa" w:w="2880"/>
          </w:tcPr>
          <w:p>
            <w:r>
              <w:t>Commonly cited in the industry but could not be traced to a specific ACEEE/E4TheFuture document in this pass</w:t>
            </w:r>
          </w:p>
        </w:tc>
      </w:tr>
      <w:tr>
        <w:tc>
          <w:tcPr>
            <w:tcW w:type="dxa" w:w="2880"/>
          </w:tcPr>
          <w:p>
            <w:r>
              <w:t>APTIM's actual Focus on Energy fee ($ or %)</w:t>
            </w:r>
          </w:p>
        </w:tc>
        <w:tc>
          <w:tcPr>
            <w:tcW w:type="dxa" w:w="2880"/>
          </w:tcPr>
          <w:p>
            <w:r>
              <w:t>NOT PUBLICLY DISCLOSED</w:t>
            </w:r>
          </w:p>
        </w:tc>
        <w:tc>
          <w:tcPr>
            <w:tcW w:type="dxa" w:w="2880"/>
          </w:tcPr>
          <w:p>
            <w:r>
              <w:t>Confirmed: the 2023-2026 SEERA-APTIM contract includes a performance-bonus mechanism (customer satisfaction, income-qualified participation, spending equity, savings goals). The base fee amount is not public in any source found.</w:t>
            </w:r>
          </w:p>
        </w:tc>
      </w:tr>
      <w:tr>
        <w:tc>
          <w:tcPr>
            <w:tcW w:type="dxa" w:w="2880"/>
          </w:tcPr>
          <w:p>
            <w:r>
              <w:t>Hawaiian Electric BYOD Plus incentive</w:t>
            </w:r>
          </w:p>
        </w:tc>
        <w:tc>
          <w:tcPr>
            <w:tcW w:type="dxa" w:w="2880"/>
          </w:tcPr>
          <w:p>
            <w:r>
              <w:t>VERIFIED</w:t>
            </w:r>
          </w:p>
        </w:tc>
        <w:tc>
          <w:tcPr>
            <w:tcW w:type="dxa" w:w="2880"/>
          </w:tcPr>
          <w:p>
            <w:r>
              <w:t>$400/kW + $400/kW low-income adder, uncapped, 5-year minimum commitment</w:t>
            </w:r>
          </w:p>
        </w:tc>
      </w:tr>
      <w:tr>
        <w:tc>
          <w:tcPr>
            <w:tcW w:type="dxa" w:w="2880"/>
          </w:tcPr>
          <w:p>
            <w:r>
              <w:t>HECO cost-recovery mechanism for BYOD Plus</w:t>
            </w:r>
          </w:p>
        </w:tc>
        <w:tc>
          <w:tcPr>
            <w:tcW w:type="dxa" w:w="2880"/>
          </w:tcPr>
          <w:p>
            <w:r>
              <w:t>UNVERIFIED</w:t>
            </w:r>
          </w:p>
        </w:tc>
        <w:tc>
          <w:tcPr>
            <w:tcW w:type="dxa" w:w="2880"/>
          </w:tcPr>
          <w:p>
            <w:r>
              <w:t>Not found -- useful only as a $/kW benchmark, not as a utility-owned-asset cost-recovery comparable</w:t>
            </w:r>
          </w:p>
        </w:tc>
      </w:tr>
      <w:tr>
        <w:tc>
          <w:tcPr>
            <w:tcW w:type="dxa" w:w="2880"/>
          </w:tcPr>
          <w:p>
            <w:r>
              <w:t>MPSC Case U-21653 cost-recovery mechanics</w:t>
            </w:r>
          </w:p>
        </w:tc>
        <w:tc>
          <w:tcPr>
            <w:tcW w:type="dxa" w:w="2880"/>
          </w:tcPr>
          <w:p>
            <w:r>
              <w:t>UNVERIFIED</w:t>
            </w:r>
          </w:p>
        </w:tc>
        <w:tc>
          <w:tcPr>
            <w:tcW w:type="dxa" w:w="2880"/>
          </w:tcPr>
          <w:p>
            <w:r>
              <w:t>Confirms an expedited 90-day APPROVAL process for pilots (DER integration is an eligible category), but does not confirm HOW costs are recovered (rider vs. rate-case true-up) -- this is a distinct, unanswered question</w:t>
            </w:r>
          </w:p>
        </w:tc>
      </w:tr>
    </w:tbl>
    <w:p/>
    <w:p>
      <w:pPr>
        <w:pStyle w:val="Heading2"/>
      </w:pPr>
      <w:r>
        <w:rPr>
          <w:rFonts w:ascii="Arial" w:hAnsi="Arial"/>
          <w:b/>
          <w:color w:val="E87B22"/>
          <w:sz w:val="26"/>
        </w:rPr>
        <w:t>Recommended Cost Structure for the Pitch</w:t>
      </w:r>
    </w:p>
    <w:p>
      <w:r>
        <w:rPr>
          <w:b/>
          <w:i w:val="0"/>
        </w:rPr>
        <w:t>Hybrid model: base administration fee as a percentage of program budget, plus a performance-bonus overlay.</w:t>
      </w:r>
    </w:p>
    <w:p>
      <w:pPr>
        <w:pStyle w:val="ListBullet"/>
      </w:pPr>
      <w:r>
        <w:t>This is not a hypothetical structure — it mirrors APTIM's actual, real, currently-active Focus on Energy contract (2023-2026), which uses exactly this architecture: a base administrative role plus bonus payments tied to measurable KPIs.</w:t>
      </w:r>
    </w:p>
    <w:p>
      <w:pPr>
        <w:pStyle w:val="ListBullet"/>
      </w:pPr>
      <w:r>
        <w:t>The federal EECBG 10% cap is a citable, defensible floor reference for the base fee percentage — not a claim that this is what APTIM charges, but a legitimate industry benchmark to anchor the conversation.</w:t>
      </w:r>
    </w:p>
    <w:p>
      <w:pPr>
        <w:pStyle w:val="ListBullet"/>
      </w:pPr>
      <w:r>
        <w:t>The performance bonus would be tied to fleet uptime/dispatch reliability — a novel application of the SEERA-style bonus mechanism to a battery fleet specifically. This is a reasonable, source-grounded proposal, but it should be presented as a proposed design, not an existing precedent for battery programs.</w:t>
      </w:r>
    </w:p>
    <w:p>
      <w:pPr>
        <w:pStyle w:val="ListBullet"/>
      </w:pPr>
      <w:r>
        <w:t>The exact percentage is intentionally NOT fixed in this pitch — it would be proposed and negotiated at the RFP stage, consistent with how real utility program administration contracts are actually procured.</w:t>
      </w:r>
    </w:p>
    <w:p>
      <w:pPr>
        <w:pStyle w:val="Heading2"/>
      </w:pPr>
      <w:r>
        <w:rPr>
          <w:rFonts w:ascii="Arial" w:hAnsi="Arial"/>
          <w:b/>
          <w:color w:val="E87B22"/>
          <w:sz w:val="26"/>
        </w:rPr>
        <w:t>What This Means for the "Legalities + How Successful Programs Operate" Question</w:t>
      </w:r>
    </w:p>
    <w:p>
      <w:pPr>
        <w:pStyle w:val="ListBullet"/>
      </w:pPr>
      <w:r>
        <w:t>Legally, the cost recovery for the underlying battery/solar capital sits with the utility via rate base (Section 1) — that mechanism is well-established (GMP, Liberty NH precedent, Michigan's own March 2026 utility-scale battery approvals).</w:t>
      </w:r>
    </w:p>
    <w:p>
      <w:pPr>
        <w:pStyle w:val="ListBullet"/>
      </w:pPr>
      <w:r>
        <w:t>What is NOT yet settled is the specific MPSC docket mechanism for recovering costs of a NEW pilot program category under the U-21653 framework — this needs direct verification against the actual order text before the team commits to a specific recovery mechanism (rider vs. deferred accounting vs. rate-case true-up) in the pitch.</w:t>
      </w:r>
    </w:p>
    <w:p>
      <w:pPr>
        <w:pStyle w:val="ListBullet"/>
      </w:pPr>
      <w:r>
        <w:t>Recommendation: present the recovery mechanism as "to be structured through the U-21653 pilot filing process, following the pattern of rider-based or deferred-accounting recovery common to other MPSC-approved pilots" — defensible and honest without overclaiming a specific mechanism we haven't confirmed.</w:t>
      </w:r>
    </w:p>
    <w:p>
      <w:pPr>
        <w:pStyle w:val="Heading2"/>
      </w:pPr>
      <w:r>
        <w:rPr>
          <w:rFonts w:ascii="Arial" w:hAnsi="Arial"/>
          <w:b/>
          <w:color w:val="E87B22"/>
          <w:sz w:val="26"/>
        </w:rPr>
        <w:t>Updated QC Checklist Items (Add to Section 7)</w:t>
      </w:r>
    </w:p>
    <w:p>
      <w:pPr>
        <w:pStyle w:val="ListBullet"/>
      </w:pPr>
      <w:r>
        <w:t>MUST VERIFY: The correct MPSC case number for DTE's residential battery pilot rejection (NOT U-20561) and the Commission's actual stated rationale — pull directly from MPSC's ADMS document system (adms.apps.lara.state.mi.us) via browser, not automated fetch tools which were blocked.</w:t>
      </w:r>
    </w:p>
    <w:p>
      <w:pPr>
        <w:pStyle w:val="ListBullet"/>
      </w:pPr>
      <w:r>
        <w:t>MUST VERIFY: MPSC Case U-21653's actual cost-recovery mechanism for approved pilots (rider vs. deferred accounting vs. rate-case true-up) — the order approves an expedited APPROVAL process; it does not by itself confirm HOW costs are recovered.</w:t>
      </w:r>
    </w:p>
    <w:p>
      <w:pPr>
        <w:pStyle w:val="ListBullet"/>
      </w:pPr>
      <w:r>
        <w:t>SHOULD VERIFY: GMP's primary tariff filing for the exact capital-cost-vs-customer-payment reconciliation, if the team wants to cite a specific ratepayer/customer cost split rather than describing it qualitatively.</w:t>
      </w:r>
    </w:p>
    <w:p>
      <w:pPr>
        <w:pStyle w:val="ListBullet"/>
      </w:pPr>
      <w:r>
        <w:t>SHOULD VERIFY: The ACEEE "Cost of Saving Electricity" report, pulled directly, for any explicit administrative-cost-percentage figure, if the team wants a firmer benchmark than the federal EECBG 10% cap.</w:t>
      </w:r>
    </w:p>
    <w:p>
      <w:r>
        <w:br w:type="page"/>
      </w:r>
    </w:p>
    <w:p>
      <w:pPr>
        <w:pStyle w:val="Heading1"/>
      </w:pPr>
      <w:r>
        <w:rPr>
          <w:rFonts w:ascii="Arial" w:hAnsi="Arial"/>
          <w:b/>
          <w:color w:val="1B2A5E"/>
          <w:sz w:val="32"/>
        </w:rPr>
        <w:t>10. Update: Scope Clarification, Design Considerations, and Confirmed DTE Figures (v6)</w:t>
      </w:r>
    </w:p>
    <w:p>
      <w:r>
        <w:rPr>
          <w:b w:val="0"/>
          <w:i/>
        </w:rPr>
        <w:t>This section consolidates findings and decisions from the primary-source DTE IRP review (Case No. U-21193, Exhibit A-3.1) and subsequent discussion. It replaces prior unverified figures and adds design/targeting details reflected on the Prioritization Framework and Service Concept slides.</w:t>
      </w:r>
    </w:p>
    <w:p>
      <w:pPr>
        <w:pStyle w:val="Heading2"/>
      </w:pPr>
      <w:r>
        <w:rPr>
          <w:rFonts w:ascii="Arial" w:hAnsi="Arial"/>
          <w:b/>
          <w:color w:val="E87B22"/>
          <w:sz w:val="26"/>
        </w:rPr>
        <w:t>10.1 Confirmed DTE Storage Figures — Replaces the "850+ MW" Estimate</w:t>
      </w:r>
    </w:p>
    <w:p>
      <w:r>
        <w:rPr>
          <w:b/>
          <w:i w:val="0"/>
        </w:rPr>
        <w:t>The 850+ MW figure previously used could not be traced to any DTE document and should not be used. From DTE's actual 2022 IRP filing (Case No. U-21193):</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Period</w:t>
            </w:r>
          </w:p>
        </w:tc>
        <w:tc>
          <w:tcPr>
            <w:tcW w:type="dxa" w:w="4320"/>
          </w:tcPr>
          <w:p>
            <w:r/>
            <w:r>
              <w:rPr>
                <w:b/>
              </w:rPr>
              <w:t>Storage Additions</w:t>
            </w:r>
          </w:p>
        </w:tc>
      </w:tr>
      <w:tr>
        <w:tc>
          <w:tcPr>
            <w:tcW w:type="dxa" w:w="4320"/>
          </w:tcPr>
          <w:p>
            <w:r>
              <w:t>2023-2027</w:t>
            </w:r>
          </w:p>
        </w:tc>
        <w:tc>
          <w:tcPr>
            <w:tcW w:type="dxa" w:w="4320"/>
          </w:tcPr>
          <w:p>
            <w:r>
              <w:t>240 MW</w:t>
            </w:r>
          </w:p>
        </w:tc>
      </w:tr>
      <w:tr>
        <w:tc>
          <w:tcPr>
            <w:tcW w:type="dxa" w:w="4320"/>
          </w:tcPr>
          <w:p>
            <w:r>
              <w:t>2028-2032</w:t>
            </w:r>
          </w:p>
        </w:tc>
        <w:tc>
          <w:tcPr>
            <w:tcW w:type="dxa" w:w="4320"/>
          </w:tcPr>
          <w:p>
            <w:r>
              <w:t>520 MW</w:t>
            </w:r>
          </w:p>
        </w:tc>
      </w:tr>
      <w:tr>
        <w:tc>
          <w:tcPr>
            <w:tcW w:type="dxa" w:w="4320"/>
          </w:tcPr>
          <w:p>
            <w:r>
              <w:t>Total by 2032</w:t>
            </w:r>
          </w:p>
        </w:tc>
        <w:tc>
          <w:tcPr>
            <w:tcW w:type="dxa" w:w="4320"/>
          </w:tcPr>
          <w:p>
            <w:r>
              <w:t>760 MW</w:t>
            </w:r>
          </w:p>
        </w:tc>
      </w:tr>
      <w:tr>
        <w:tc>
          <w:tcPr>
            <w:tcW w:type="dxa" w:w="4320"/>
          </w:tcPr>
          <w:p>
            <w:r>
              <w:t>2033-2042</w:t>
            </w:r>
          </w:p>
        </w:tc>
        <w:tc>
          <w:tcPr>
            <w:tcW w:type="dxa" w:w="4320"/>
          </w:tcPr>
          <w:p>
            <w:r>
              <w:t>1,050 MW</w:t>
            </w:r>
          </w:p>
        </w:tc>
      </w:tr>
      <w:tr>
        <w:tc>
          <w:tcPr>
            <w:tcW w:type="dxa" w:w="4320"/>
          </w:tcPr>
          <w:p>
            <w:r>
              <w:t>Total new by 2042</w:t>
            </w:r>
          </w:p>
        </w:tc>
        <w:tc>
          <w:tcPr>
            <w:tcW w:type="dxa" w:w="4320"/>
          </w:tcPr>
          <w:p>
            <w:r>
              <w:t>1,810 MW</w:t>
            </w:r>
          </w:p>
        </w:tc>
      </w:tr>
      <w:tr>
        <w:tc>
          <w:tcPr>
            <w:tcW w:type="dxa" w:w="4320"/>
          </w:tcPr>
          <w:p>
            <w:r>
              <w:t>Grand total by 2042 (incl. existing 1,120 MW Ludington pumped hydro)</w:t>
            </w:r>
          </w:p>
        </w:tc>
        <w:tc>
          <w:tcPr>
            <w:tcW w:type="dxa" w:w="4320"/>
          </w:tcPr>
          <w:p>
            <w:r>
              <w:t>2,900 MW</w:t>
            </w:r>
          </w:p>
        </w:tc>
      </w:tr>
    </w:tbl>
    <w:p/>
    <w:p>
      <w:r>
        <w:rPr>
          <w:b w:val="0"/>
          <w:i w:val="0"/>
        </w:rPr>
        <w:t>Use 760 MW by 2032 for the near-term figure and 1,810 MW new / 2,900 MW total by 2042 for the long-range figure. Both are now primary-sourced.</w:t>
      </w:r>
    </w:p>
    <w:p>
      <w:pPr>
        <w:pStyle w:val="Heading2"/>
      </w:pPr>
      <w:r>
        <w:rPr>
          <w:rFonts w:ascii="Arial" w:hAnsi="Arial"/>
          <w:b/>
          <w:color w:val="E87B22"/>
          <w:sz w:val="26"/>
        </w:rPr>
        <w:t>10.2 Scope Clarification: Distribution Resilience, Not Generation Replacement</w:t>
      </w:r>
    </w:p>
    <w:p>
      <w:r>
        <w:rPr>
          <w:b/>
          <w:i w:val="0"/>
        </w:rPr>
        <w:t>DTE's IRP storage buildout exists to replace Monroe Power Plant -- described in DTE's own filing as the fourth-largest coal plant in the US -- a decade-long, multi-billion-dollar generation transition. Our program is NOT part of that story and should not be pitched as if it were.</w:t>
      </w:r>
    </w:p>
    <w:p>
      <w:pPr>
        <w:pStyle w:val="ListBullet"/>
      </w:pPr>
      <w:r>
        <w:t>Our program is a distribution-level resilience investment, addressing outage backup at the neighborhood level -- a category DTE's own IRP does not cover (the IRP's demand response program list is thermostats and industrial interruptible rates; no residential battery/solar component appears anywhere in the 145-page filing).</w:t>
      </w:r>
    </w:p>
    <w:p>
      <w:pPr>
        <w:pStyle w:val="ListBullet"/>
      </w:pPr>
      <w:r>
        <w:t>This fits inside DTE's existing, separate $1B/year Distribution Grid Plan commitment (cited in the IRP itself) to "better detect, prevent and manage customer outages" -- our program is a new tool within a commitment DTE has already made publicly, not a competing ask against the coal-replacement plan.</w:t>
      </w:r>
    </w:p>
    <w:p>
      <w:pPr>
        <w:pStyle w:val="ListBullet"/>
      </w:pPr>
      <w:r>
        <w:t>Keeping the pitch anchored to funding uncertainty (the prompt) rather than generation strategy avoids inviting comparison to DTE's much larger, higher-stakes coal transition -- and may partly explain why DTE's 2022 residential battery pilot got rejected: it was a small ask evaluated inside an enormous, high-scrutiny rate case.</w:t>
      </w:r>
    </w:p>
    <w:p>
      <w:pPr>
        <w:pStyle w:val="Heading2"/>
      </w:pPr>
      <w:r>
        <w:rPr>
          <w:rFonts w:ascii="Arial" w:hAnsi="Arial"/>
          <w:b/>
          <w:color w:val="E87B22"/>
          <w:sz w:val="26"/>
        </w:rPr>
        <w:t>10.3 Why All Parties Say Yes (Expanded)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Party</w:t>
            </w:r>
          </w:p>
        </w:tc>
        <w:tc>
          <w:tcPr>
            <w:tcW w:type="dxa" w:w="4320"/>
          </w:tcPr>
          <w:p>
            <w:r/>
            <w:r>
              <w:rPr>
                <w:b/>
              </w:rPr>
              <w:t>Incentive</w:t>
            </w:r>
          </w:p>
        </w:tc>
      </w:tr>
      <w:tr>
        <w:tc>
          <w:tcPr>
            <w:tcW w:type="dxa" w:w="4320"/>
          </w:tcPr>
          <w:p>
            <w:r>
              <w:t>Utility (DTE)</w:t>
            </w:r>
          </w:p>
        </w:tc>
        <w:tc>
          <w:tcPr>
            <w:tcW w:type="dxa" w:w="4320"/>
          </w:tcPr>
          <w:p>
            <w:r>
              <w:t>Avoided capacity cost (cheaper than a new peaker plant); grows rate base (how utilities earn returns); meets PA 235 storage mandate; regulatory goodwill during an actively critical rate-case climate (MI Attorney General has intervened repeatedly against DTE/Consumers rate requests)</w:t>
            </w:r>
          </w:p>
        </w:tc>
      </w:tr>
      <w:tr>
        <w:tc>
          <w:tcPr>
            <w:tcW w:type="dxa" w:w="4320"/>
          </w:tcPr>
          <w:p>
            <w:r>
              <w:t>Household (host)</w:t>
            </w:r>
          </w:p>
        </w:tc>
        <w:tc>
          <w:tcPr>
            <w:tcW w:type="dxa" w:w="4320"/>
          </w:tcPr>
          <w:p>
            <w:r>
              <w:t>Free backup power and lower bills; zero upfront cost, zero monthly cost, zero maintenance responsibility, no credit check or loan</w:t>
            </w:r>
          </w:p>
        </w:tc>
      </w:tr>
      <w:tr>
        <w:tc>
          <w:tcPr>
            <w:tcW w:type="dxa" w:w="4320"/>
          </w:tcPr>
          <w:p>
            <w:r>
              <w:t>APTIM</w:t>
            </w:r>
          </w:p>
        </w:tc>
        <w:tc>
          <w:tcPr>
            <w:tcW w:type="dxa" w:w="4320"/>
          </w:tcPr>
          <w:p>
            <w:r>
              <w:t>Recurring administration fee (base % + performance bonus); Michigan market entry (no confirmed existing footprint); fills a real gap -- no company today administers utility-owned residential fleets end-to-end</w:t>
            </w:r>
          </w:p>
        </w:tc>
      </w:tr>
      <w:tr>
        <w:tc>
          <w:tcPr>
            <w:tcW w:type="dxa" w:w="4320"/>
          </w:tcPr>
          <w:p>
            <w:r>
              <w:t>Regulator (MPSC)</w:t>
            </w:r>
          </w:p>
        </w:tc>
        <w:tc>
          <w:tcPr>
            <w:tcW w:type="dxa" w:w="4320"/>
          </w:tcPr>
          <w:p>
            <w:r>
              <w:t>Resilience delivered to ratepayers without a new tax or appropriation; a performance-linked APTIM fee keeps the utility accountable for actual fleet performance, not just installation</w:t>
            </w:r>
          </w:p>
        </w:tc>
      </w:tr>
    </w:tbl>
    <w:p/>
    <w:p>
      <w:r>
        <w:rPr>
          <w:b w:val="0"/>
          <w:i w:val="0"/>
        </w:rPr>
        <w:t>Key framing: this is not new money being spent. It is the same capital DTE would otherwise spend on a peaker plant or substation, redirected into a distributed asset that also benefits the hosting household directly.</w:t>
      </w:r>
    </w:p>
    <w:p>
      <w:pPr>
        <w:pStyle w:val="Heading2"/>
      </w:pPr>
      <w:r>
        <w:rPr>
          <w:rFonts w:ascii="Arial" w:hAnsi="Arial"/>
          <w:b/>
          <w:color w:val="E87B22"/>
          <w:sz w:val="26"/>
        </w:rPr>
        <w:t>10.4 Pilot Targeting: Sequencing, Not Exclusion</w:t>
      </w:r>
    </w:p>
    <w:p>
      <w:r>
        <w:rPr>
          <w:b/>
          <w:i w:val="0"/>
        </w:rPr>
        <w:t>A valid concern was raised: a pilot should not launch in a lower-income area first. This is standard pilot design practice, not a departure from the resilience/equity thesis -- it is correct sequencing.</w:t>
      </w:r>
    </w:p>
    <w:p>
      <w:pPr>
        <w:pStyle w:val="ListBullet"/>
      </w:pPr>
      <w:r>
        <w:t>Phase 1 (Pilot): Target stable, qualifying homeowners -- owner-occupied, suitable roof condition, minimal shading, long-term residency likelihood (already APTIM's stated customer-selection criteria in the Michigan assumptions log). This minimizes execution risk (fewer install complications, higher completion rates, cleaner performance data) and produces the operational learning DTE needs before scaling.</w:t>
      </w:r>
    </w:p>
    <w:p>
      <w:pPr>
        <w:pStyle w:val="ListBullet"/>
      </w:pPr>
      <w:r>
        <w:t>Phase 2 (Scale): Once validated, expand into higher-need areas -- including lower-income and highest-outage neighborhoods -- backed by a proven track record rather than an untested pitch. This is a MORE defensible regulatory argument than testing directly on vulnerable populations: "we proved this works before deploying it to the households that need it most."</w:t>
      </w:r>
    </w:p>
    <w:p>
      <w:pPr>
        <w:pStyle w:val="ListBullet"/>
      </w:pPr>
      <w:r>
        <w:t>This sequencing also matches DTE's own stated pilot objective from the Michigan assumptions log: "creates operational learning prior to large-scale rollout."</w:t>
      </w:r>
    </w:p>
    <w:p>
      <w:pPr>
        <w:pStyle w:val="Heading2"/>
      </w:pPr>
      <w:r>
        <w:rPr>
          <w:rFonts w:ascii="Arial" w:hAnsi="Arial"/>
          <w:b/>
          <w:color w:val="E87B22"/>
          <w:sz w:val="26"/>
        </w:rPr>
        <w:t>10.5 Cold-Weather Battery Performance — Design Response</w:t>
      </w:r>
    </w:p>
    <w:p>
      <w:r>
        <w:rPr>
          <w:b/>
          <w:i w:val="0"/>
        </w:rPr>
        <w:t>A real concern: lithium-ion cells can lose 50-80% of capacity in sub-freezing temperatures, and Michigan's worst outages are winter, ice-storm-driven events.</w:t>
      </w:r>
    </w:p>
    <w:p>
      <w:pPr>
        <w:pStyle w:val="ListBullet"/>
      </w:pPr>
      <w:r>
        <w:t>The severe degradation figures describe BARE cells with no thermal management -- not the hardware this program would deploy. Products like Tesla Powerwall include active internal thermal management (small heaters) and are rated for operation down to -4F (-20C).</w:t>
      </w:r>
    </w:p>
    <w:p>
      <w:pPr>
        <w:pStyle w:val="ListBullet"/>
      </w:pPr>
      <w:r>
        <w:t>Design response, stated explicitly rather than assumed: (1) specify cold-climate-rated battery chemistry with active thermal management, (2) size the system with a winter capacity buffer so the worst-case derated capacity still meets the backup-power commitment, (3) reserve a fixed "resilience floor" of capacity not touched by daily dispatch cycling, so it is guaranteed available when a storm hits.</w:t>
      </w:r>
    </w:p>
    <w:p>
      <w:pPr>
        <w:pStyle w:val="ListBullet"/>
      </w:pPr>
      <w:r>
        <w:t>Framing for the pitch: this is a design feature, explicitly engineered for the season Michigan's outages actually occur in -- not a gap glossed over.</w:t>
      </w:r>
    </w:p>
    <w:p>
      <w:pPr>
        <w:pStyle w:val="Heading2"/>
      </w:pPr>
      <w:r>
        <w:rPr>
          <w:rFonts w:ascii="Arial" w:hAnsi="Arial"/>
          <w:b/>
          <w:color w:val="E87B22"/>
          <w:sz w:val="26"/>
        </w:rPr>
        <w:t>10.6 Ownership Model — Restated as Settled</w:t>
      </w:r>
    </w:p>
    <w:p>
      <w:r>
        <w:rPr>
          <w:b w:val="0"/>
          <w:i w:val="0"/>
        </w:rPr>
        <w:t>The utility owns the battery + solar fleet. The household only hosts it. This was decided early in the research (see Section 1) after confirming that any customer-paid model -- including subsidized leases like Green Mountain Power's $55/month -- fails for the demographic this program should ultimately serve. A homeowner-financed/loan alternative was evaluated at the group's request and rejected: the math does not work for an average-usage Michigan household (loan payment ~$310/month on a $34,500 system vs. an average bill of ~$130/month), and pursuing it would reintroduce the credit/upfront-cost barrier the utility-owned model was designed to eliminate, while moving APTIM into an already-crowded homeowner-financed solar market instead of the empty utility-owned-administration niche.</w:t>
      </w:r>
    </w:p>
    <w:p/>
    <w:p>
      <w:r>
        <w:rPr>
          <w:i/>
          <w:sz w:val="18"/>
        </w:rPr>
        <w:t>Primary source added this round: DTE Electric 2022 Integrated Resource Plan, Case No. U-21193, Exhibit A-3.1 (Executive Summary, pages 1-26).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higan.gov/mpsc/commission/workgroups/2023-energy-legislation/statewide-energy-storage-target" TargetMode="External"/><Relationship Id="rId10" Type="http://schemas.openxmlformats.org/officeDocument/2006/relationships/hyperlink" Target="https://www.michigan.gov/mpsc/commission/news-releases/2026/03/27/mpsc-goes-big-on-batteries" TargetMode="External"/><Relationship Id="rId11" Type="http://schemas.openxmlformats.org/officeDocument/2006/relationships/hyperlink" Target="https://www.michigan.gov/mpsc/0,9535,7-395-93307_93312_93320_94834-482690--,00.html" TargetMode="External"/><Relationship Id="rId12" Type="http://schemas.openxmlformats.org/officeDocument/2006/relationships/hyperlink" Target="https://www.legislature.mi.gov/documents/2023-2024/publicact/pdf/2023-PA-0235.pdf" TargetMode="External"/><Relationship Id="rId13" Type="http://schemas.openxmlformats.org/officeDocument/2006/relationships/hyperlink" Target="https://www.michigan.gov/mpsc/-/media/Project/Websites/mpsc/workgroups/2023-Energy-Legislation/Study-of-LDES-and-MDES.pdf" TargetMode="External"/><Relationship Id="rId14" Type="http://schemas.openxmlformats.org/officeDocument/2006/relationships/hyperlink" Target="https://www.michigan.gov/-/media/Project/Websites/mpsc/consumer/info/briefs/PRA_Issue_Brief.pdf" TargetMode="External"/><Relationship Id="rId15" Type="http://schemas.openxmlformats.org/officeDocument/2006/relationships/hyperlink" Target="https://cdn.misoenergy.org/2024%20PRA%20Results%20Posting%2020240425632665.pdf" TargetMode="External"/><Relationship Id="rId16" Type="http://schemas.openxmlformats.org/officeDocument/2006/relationships/hyperlink" Target="https://cdn.misoenergy.org/2025%20PRA%20Results%20Posting%2020250529_Corrections694160.pdf" TargetMode="External"/><Relationship Id="rId17" Type="http://schemas.openxmlformats.org/officeDocument/2006/relationships/hyperlink" Target="https://cdn.misoenergy.org/2026%20PRA%20Results%20Posting%2020260428754715.pdf" TargetMode="External"/><Relationship Id="rId18" Type="http://schemas.openxmlformats.org/officeDocument/2006/relationships/hyperlink" Target="https://www.utilitydive.com/news/miso-capacity-auction/746576/" TargetMode="External"/><Relationship Id="rId19" Type="http://schemas.openxmlformats.org/officeDocument/2006/relationships/hyperlink" Target="https://www.greenmtnsolar.com/battery-backup-systems/residential/tesla-powerwall-3/" TargetMode="External"/><Relationship Id="rId20" Type="http://schemas.openxmlformats.org/officeDocument/2006/relationships/hyperlink" Target="https://greenmountainbatteries.com/" TargetMode="External"/><Relationship Id="rId21" Type="http://schemas.openxmlformats.org/officeDocument/2006/relationships/hyperlink" Target="https://www.tesla.com/support/certified-installers-powerwall" TargetMode="External"/><Relationship Id="rId22" Type="http://schemas.openxmlformats.org/officeDocument/2006/relationships/hyperlink" Target="https://www.energysage.com/blog/tesla-powerwall-installation-green-mountain-power-vermont/" TargetMode="External"/><Relationship Id="rId23" Type="http://schemas.openxmlformats.org/officeDocument/2006/relationships/hyperlink" Target="https://greenmountainpower.com/wp-content/uploads/2020/06/GMP-Powerwall-Program-Tariff-and-Lease-2020.pdf" TargetMode="External"/><Relationship Id="rId24" Type="http://schemas.openxmlformats.org/officeDocument/2006/relationships/hyperlink" Target="https://dteenergy.com/content/dam/dteenergy/deg/website/hybris/smartcurrents/SmartCurrentsTermsConditions.pdf" TargetMode="External"/><Relationship Id="rId25" Type="http://schemas.openxmlformats.org/officeDocument/2006/relationships/hyperlink" Target="https://www.thermostatrewards.com/dte/faq/" TargetMode="External"/><Relationship Id="rId26" Type="http://schemas.openxmlformats.org/officeDocument/2006/relationships/hyperlink" Target="https://www.aptim.com/services/environmental-and-sustainability-solutions/energy-transition/energy-efficiency-and-electrification/" TargetMode="External"/><Relationship Id="rId27" Type="http://schemas.openxmlformats.org/officeDocument/2006/relationships/hyperlink" Target="https://www.aptim.com/projects/energy-smart-entergy-new-orleans-energy-efficiency-program/" TargetMode="External"/><Relationship Id="rId28" Type="http://schemas.openxmlformats.org/officeDocument/2006/relationships/hyperlink" Target="https://www.nrdc.org/bio/jc-kibbey/utility-accountability-101-how-do-utilities-make-money" TargetMode="External"/><Relationship Id="rId29" Type="http://schemas.openxmlformats.org/officeDocument/2006/relationships/hyperlink" Target="https://www.eia.gov/energyexplained/electricity/prices-and-factors-affecting-prices.php" TargetMode="External"/><Relationship Id="rId30" Type="http://schemas.openxmlformats.org/officeDocument/2006/relationships/hyperlink" Target="https://www.renewabl.com/post/ppas-explained-the-complete-guide-to-power-purchase-agreements" TargetMode="External"/><Relationship Id="rId31" Type="http://schemas.openxmlformats.org/officeDocument/2006/relationships/hyperlink" Target="https://www.epa.gov/green-power-markets/physical-ppa" TargetMode="External"/><Relationship Id="rId32" Type="http://schemas.openxmlformats.org/officeDocument/2006/relationships/hyperlink" Target="https://emp.lbl.gov/news/backlog-power-plants-seeking-transmission-grid-connection-eased-somewhat-2025-amidst" TargetMode="External"/><Relationship Id="rId33" Type="http://schemas.openxmlformats.org/officeDocument/2006/relationships/hyperlink" Target="https://sunlithenergy.com/utility-scale-bess-guide/" TargetMode="External"/><Relationship Id="rId34" Type="http://schemas.openxmlformats.org/officeDocument/2006/relationships/hyperlink" Target="https://pv-magazine-usa.com/2023/10/30/roadrunner-reserve-energy-storage-system-to-be-one-of-largest-in-arizona/" TargetMode="External"/><Relationship Id="rId35" Type="http://schemas.openxmlformats.org/officeDocument/2006/relationships/hyperlink" Target="https://solartechonline.com/blog/what-is-net-metering-solar-guide/" TargetMode="External"/><Relationship Id="rId36" Type="http://schemas.openxmlformats.org/officeDocument/2006/relationships/hyperlink" Target="https://www.reslink.org/blogs/solar-tax-credit-qualification-after-july-4-deadline-an-epc-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