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2A5E"/>
          <w:sz w:val="40"/>
        </w:rPr>
        <w:t>STRIVE Capstone — Group 1</w:t>
        <w:br/>
        <w:t>Recommended Direction: Utility-Owned Battery + Solar Fleet</w:t>
        <w:br/>
        <w:t>Administered by APTIM</w:t>
      </w:r>
    </w:p>
    <w:p>
      <w:pPr>
        <w:jc w:val="center"/>
      </w:pPr>
      <w:r>
        <w:rPr>
          <w:i/>
          <w:sz w:val="20"/>
        </w:rPr>
        <w:t>Team Briefing v2 — Updated with Competitive Analysis | Prepared by Christian (Utilities Research)</w:t>
        <w:br/>
        <w:t>Internal working document — Group 1 discussion only</w:t>
      </w:r>
    </w:p>
    <w:p/>
    <w:p>
      <w:pPr>
        <w:pStyle w:val="Heading1"/>
      </w:pPr>
      <w:r>
        <w:rPr>
          <w:rFonts w:ascii="Arial" w:hAnsi="Arial"/>
          <w:b/>
          <w:color w:val="1B2A5E"/>
          <w:sz w:val="32"/>
        </w:rPr>
        <w:t>1. Where We Are and Why This Document Exists</w:t>
      </w:r>
    </w:p>
    <w:p>
      <w:r>
        <w:rPr>
          <w:b w:val="0"/>
          <w:i w:val="0"/>
        </w:rPr>
        <w:t>Samantha's feedback: leadership wants a SPECIFIC program with real numbers for one region — not a broad toolkit. She pointed at batteries + solar as the level of specificity they want, and asked us to answer: why would the client say yes, why is it financially beneficial, and how does it scale.</w:t>
      </w:r>
    </w:p>
    <w:p>
      <w:r>
        <w:rPr>
          <w:b/>
          <w:i w:val="0"/>
        </w:rPr>
        <w:t>Since the last version of this document, we completed a full competitive analysis of the utility-owned battery fleet concept. The result strengthens the case decisively: the service seat we propose to fill is empty across the entire market, and APTIM is already adjacent to the first major program of this kind. This is now our recommended anchor pitch.</w:t>
      </w:r>
    </w:p>
    <w:p>
      <w:pPr>
        <w:pStyle w:val="Heading1"/>
      </w:pPr>
      <w:r>
        <w:rPr>
          <w:rFonts w:ascii="Arial" w:hAnsi="Arial"/>
          <w:b/>
          <w:color w:val="1B2A5E"/>
          <w:sz w:val="32"/>
        </w:rPr>
        <w:t>2. The Flaw We Solved First</w:t>
      </w:r>
    </w:p>
    <w:p>
      <w:r>
        <w:rPr>
          <w:b/>
          <w:i w:val="0"/>
        </w:rPr>
        <w:t>Every consumer-facing battery + solar model fails the same way:</w:t>
      </w:r>
    </w:p>
    <w:p>
      <w:pPr>
        <w:pStyle w:val="ListBullet"/>
      </w:pPr>
      <w:r>
        <w:t>Customers will not take on the upfront cost — there is not enough consumer urgency around energy resilience to push that agenda, even for households that could afford it.</w:t>
      </w:r>
    </w:p>
    <w:p>
      <w:pPr>
        <w:pStyle w:val="ListBullet"/>
      </w:pPr>
      <w:r>
        <w:t>Monthly-payment models (Green Mountain Power's $55/month lease) do not work for income-qualified households.</w:t>
      </w:r>
    </w:p>
    <w:p>
      <w:pPr>
        <w:pStyle w:val="ListBullet"/>
      </w:pPr>
      <w:r>
        <w:t>Incentive-covered models re-import the original problem: if the program only works when federal rebates cover the hardware, the program dies when federal funding dies.</w:t>
      </w:r>
    </w:p>
    <w:p>
      <w:r>
        <w:rPr>
          <w:b/>
          <w:i w:val="0"/>
        </w:rPr>
        <w:t>The fix: remove the customer from the buying decision entirely. The utility buys; the household only hosts.</w:t>
      </w:r>
    </w:p>
    <w:p>
      <w:pPr>
        <w:pStyle w:val="Heading1"/>
      </w:pPr>
      <w:r>
        <w:rPr>
          <w:rFonts w:ascii="Arial" w:hAnsi="Arial"/>
          <w:b/>
          <w:color w:val="1B2A5E"/>
          <w:sz w:val="32"/>
        </w:rPr>
        <w:t>3. The Program</w:t>
      </w:r>
    </w:p>
    <w:p>
      <w:r>
        <w:rPr>
          <w:b/>
          <w:i w:val="0"/>
        </w:rPr>
        <w:t>The utility finances and owns residential battery + solar systems (in practice, Tesla Powerwalls or equivalent paired with rooftop solar where viable), deployed as rate-based grid infrastructure — the same way it finances poles, wires, and substations.</w:t>
      </w:r>
    </w:p>
    <w:p>
      <w:pPr>
        <w:pStyle w:val="ListBullet"/>
      </w:pPr>
      <w:r>
        <w:t>The HOUSEHOLD hosts the equipment: $0 upfront, $0 monthly, free backup power, lower bills. Signs only a hosting agreement.</w:t>
      </w:r>
    </w:p>
    <w:p>
      <w:pPr>
        <w:pStyle w:val="ListBullet"/>
      </w:pPr>
      <w:r>
        <w:t>The UTILITY dispatches the fleet at peak, capturing avoided peak-capacity value (~$500–$1,500/kW) — cheaper than the peaker plant or wires upgrade it replaces, and it grows the rate base (how utilities earn returns).</w:t>
      </w:r>
    </w:p>
    <w:p>
      <w:pPr>
        <w:pStyle w:val="ListBullet"/>
      </w:pPr>
      <w:r>
        <w:t>APTIM sells no hardware. APTIM is the program administrator: site selection, household recruitment, hosting agreements, contractor network management, installation QA, fleet program reporting, regulatory compliance documentation.</w:t>
      </w:r>
    </w:p>
    <w:p>
      <w:r>
        <w:rPr>
          <w:b w:val="0"/>
          <w:i/>
        </w:rPr>
        <w:t>Division of labor in one line: Tesla makes the batteries. The utility owns them. Software partners (Tesla/EnergyHub) dispatch them. APTIM makes the program work on the ground.</w:t>
      </w:r>
    </w:p>
    <w:p>
      <w:pPr>
        <w:pStyle w:val="Heading2"/>
      </w:pPr>
      <w:r>
        <w:rPr>
          <w:rFonts w:ascii="Arial" w:hAnsi="Arial"/>
          <w:b/>
          <w:color w:val="E87B22"/>
          <w:sz w:val="26"/>
        </w:rPr>
        <w:t>Why This Answers the Prompt</w:t>
      </w:r>
    </w:p>
    <w:p>
      <w:pPr>
        <w:pStyle w:val="ListBullet"/>
      </w:pPr>
      <w:r>
        <w:t>Ratepayer-financed infrastructure does not depend on federal grants at all. Evidence: fee/rate-funded programs survive (Colorado VXC raised rebates in Nov 2025 as federal credits died); appropriation-funded programs get cut (New Jersey raided $190M from its own Clean Energy Fund).</w:t>
      </w:r>
    </w:p>
    <w:p>
      <w:pPr>
        <w:pStyle w:val="ListBullet"/>
      </w:pPr>
      <w:r>
        <w:t>Uses existing APTIM capabilities — program administration, contractor networks, customer engagement, compliance reporting. No new technology invention.</w:t>
      </w:r>
    </w:p>
    <w:p>
      <w:pPr>
        <w:pStyle w:val="ListBullet"/>
      </w:pPr>
      <w:r>
        <w:t>Specific, regional, numbers-driven — exactly what leadership asked for.</w:t>
      </w:r>
    </w:p>
    <w:p>
      <w:pPr>
        <w:pStyle w:val="ListBullet"/>
      </w:pPr>
      <w:r>
        <w:t>The 'foot in the door': APTIM becomes the utility's standing partner for distributed infrastructure.</w:t>
      </w:r>
    </w:p>
    <w:p>
      <w:pPr>
        <w:pStyle w:val="Heading2"/>
      </w:pPr>
      <w:r>
        <w:rPr>
          <w:rFonts w:ascii="Arial" w:hAnsi="Arial"/>
          <w:b/>
          <w:color w:val="E87B22"/>
          <w:sz w:val="26"/>
        </w:rPr>
        <w:t>Where the Toolkit Fits</w:t>
      </w:r>
    </w:p>
    <w:p>
      <w:r>
        <w:rPr>
          <w:b w:val="0"/>
          <w:i w:val="0"/>
        </w:rPr>
        <w:t>The Program Resilience Toolkit (our earlier work) is the delivery framework: adaptation/relaunch support, funding navigation, compliance/reporting, contractor continuity are HOW APTIM runs the fleet program. The battery fleet is WHAT we pitch.</w:t>
      </w:r>
    </w:p>
    <w:p>
      <w:pPr>
        <w:pStyle w:val="Heading1"/>
      </w:pPr>
      <w:r>
        <w:rPr>
          <w:rFonts w:ascii="Arial" w:hAnsi="Arial"/>
          <w:b/>
          <w:color w:val="1B2A5E"/>
          <w:sz w:val="32"/>
        </w:rPr>
        <w:t>4. The Competitive Case: The Seat Is Empty</w:t>
      </w:r>
    </w:p>
    <w:p>
      <w:r>
        <w:rPr>
          <w:b w:val="0"/>
          <w:i/>
        </w:rPr>
        <w:t>Full competitive analysis completed July 2026 (separate document). Summary: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Player Type</w:t>
            </w:r>
          </w:p>
        </w:tc>
        <w:tc>
          <w:tcPr>
            <w:tcW w:type="dxa" w:w="2880"/>
          </w:tcPr>
          <w:p>
            <w:r/>
            <w:r>
              <w:rPr>
                <w:b/>
              </w:rPr>
              <w:t>Examples</w:t>
            </w:r>
          </w:p>
        </w:tc>
        <w:tc>
          <w:tcPr>
            <w:tcW w:type="dxa" w:w="2880"/>
          </w:tcPr>
          <w:p>
            <w:r/>
            <w:r>
              <w:rPr>
                <w:b/>
              </w:rPr>
              <w:t>Where They Stop</w:t>
            </w:r>
          </w:p>
        </w:tc>
      </w:tr>
      <w:tr>
        <w:tc>
          <w:tcPr>
            <w:tcW w:type="dxa" w:w="2880"/>
          </w:tcPr>
          <w:p>
            <w:r>
              <w:t>DSM program administrators</w:t>
            </w:r>
          </w:p>
        </w:tc>
        <w:tc>
          <w:tcPr>
            <w:tcW w:type="dxa" w:w="2880"/>
          </w:tcPr>
          <w:p>
            <w:r>
              <w:t>CLEAResult, ICF, Franklin Energy</w:t>
            </w:r>
          </w:p>
        </w:tc>
        <w:tc>
          <w:tcPr>
            <w:tcW w:type="dxa" w:w="2880"/>
          </w:tcPr>
          <w:p>
            <w:r>
              <w:t>Customer-owned (BYOD) device programs only — none administer utility-owned assets</w:t>
            </w:r>
          </w:p>
        </w:tc>
      </w:tr>
      <w:tr>
        <w:tc>
          <w:tcPr>
            <w:tcW w:type="dxa" w:w="2880"/>
          </w:tcPr>
          <w:p>
            <w:r>
              <w:t>Engineering / EPC firms</w:t>
            </w:r>
          </w:p>
        </w:tc>
        <w:tc>
          <w:tcPr>
            <w:tcW w:type="dxa" w:w="2880"/>
          </w:tcPr>
          <w:p>
            <w:r>
              <w:t>Stantec, Willdan, Black &amp; Veatch</w:t>
            </w:r>
          </w:p>
        </w:tc>
        <w:tc>
          <w:tcPr>
            <w:tcW w:type="dxa" w:w="2880"/>
          </w:tcPr>
          <w:p>
            <w:r>
              <w:t>Grid-scale construction; no residential fleet operations</w:t>
            </w:r>
          </w:p>
        </w:tc>
      </w:tr>
      <w:tr>
        <w:tc>
          <w:tcPr>
            <w:tcW w:type="dxa" w:w="2880"/>
          </w:tcPr>
          <w:p>
            <w:r>
              <w:t>VPP software &amp; aggregators</w:t>
            </w:r>
          </w:p>
        </w:tc>
        <w:tc>
          <w:tcPr>
            <w:tcW w:type="dxa" w:w="2880"/>
          </w:tcPr>
          <w:p>
            <w:r>
              <w:t>Tesla, EnergyHub, Uplight, Sunrun</w:t>
            </w:r>
          </w:p>
        </w:tc>
        <w:tc>
          <w:tcPr>
            <w:tcW w:type="dxa" w:w="2880"/>
          </w:tcPr>
          <w:p>
            <w:r>
              <w:t>Software, dispatch, self-serve enrollment; no field operations</w:t>
            </w:r>
          </w:p>
        </w:tc>
      </w:tr>
      <w:tr>
        <w:tc>
          <w:tcPr>
            <w:tcW w:type="dxa" w:w="2880"/>
          </w:tcPr>
          <w:p>
            <w:r>
              <w:t>The one that tried</w:t>
            </w:r>
          </w:p>
        </w:tc>
        <w:tc>
          <w:tcPr>
            <w:tcW w:type="dxa" w:w="2880"/>
          </w:tcPr>
          <w:p>
            <w:r>
              <w:t>Swell Energy</w:t>
            </w:r>
          </w:p>
        </w:tc>
        <w:tc>
          <w:tcPr>
            <w:tcW w:type="dxa" w:w="2880"/>
          </w:tcPr>
          <w:p>
            <w:r>
              <w:t>Insolvent Sept 2024 — carried hardware financing risk itself; APTIM fee-for-service model does not</w:t>
            </w:r>
          </w:p>
        </w:tc>
      </w:tr>
    </w:tbl>
    <w:p/>
    <w:p>
      <w:pPr>
        <w:pStyle w:val="ListBullet"/>
      </w:pPr>
      <w:r>
        <w:t>Proof the seat is empty: Green Mountain Power — the largest US utility-owned residential fleet (~9,000 Powerwalls) — had to self-assemble the administrator role from three vendors, because nobody sells it.</w:t>
      </w:r>
    </w:p>
    <w:p>
      <w:pPr>
        <w:pStyle w:val="ListBullet"/>
      </w:pPr>
      <w:r>
        <w:t>Proof APTIM is already adjacent: Entergy New Orleans's ~$28M residential battery/DER program (approved Dec 2025) sits under the Energy Smart umbrella APTIM has administered since 2017.</w:t>
      </w:r>
    </w:p>
    <w:p>
      <w:pPr>
        <w:pStyle w:val="ListBullet"/>
      </w:pPr>
      <w:r>
        <w:t>Regulatory precedent established: Vermont approved fully tariffed utility-owned home storage (2020, caps lifted 2023); New Hampshire approved it in 2019. Rate-basing has been answered 'yes' twice.</w:t>
      </w:r>
    </w:p>
    <w:p>
      <w:pPr>
        <w:pStyle w:val="ListBullet"/>
      </w:pPr>
      <w:r>
        <w:t>Geography: competitors (Sunrun, Tesla, Base Power, Willdan) concentrate in California and Texas. The Midwest and Gulf Coast are uncontested — where APTIM is strongest.</w:t>
      </w:r>
    </w:p>
    <w:p>
      <w:pPr>
        <w:pStyle w:val="Heading1"/>
      </w:pPr>
      <w:r>
        <w:rPr>
          <w:rFonts w:ascii="Arial" w:hAnsi="Arial"/>
          <w:b/>
          <w:color w:val="1B2A5E"/>
          <w:sz w:val="32"/>
        </w:rPr>
        <w:t>5. The Three Target Markets (Prioritization Framework)</w:t>
      </w:r>
    </w:p>
    <w:p>
      <w:pPr>
        <w:pStyle w:val="Heading2"/>
      </w:pPr>
      <w:r>
        <w:rPr>
          <w:rFonts w:ascii="Arial" w:hAnsi="Arial"/>
          <w:b/>
          <w:color w:val="E87B22"/>
          <w:sz w:val="26"/>
        </w:rPr>
        <w:t>Target 1 — Wisconsin (Pilot, Year 1)</w:t>
      </w:r>
    </w:p>
    <w:p>
      <w:pPr>
        <w:pStyle w:val="ListBullet"/>
      </w:pPr>
      <w:r>
        <w:t>APTIM fortress: Focus on Energy administrator since 2010 — 107 utility territories, contractor network, 15 years of PSC relationships</w:t>
      </w:r>
    </w:p>
    <w:p>
      <w:pPr>
        <w:pStyle w:val="ListBullet"/>
      </w:pPr>
      <w:r>
        <w:t>Zero fleet competition anywhere in the Midwest</w:t>
      </w:r>
    </w:p>
    <w:p>
      <w:pPr>
        <w:pStyle w:val="ListBullet"/>
      </w:pPr>
      <w:r>
        <w:t>Demand driver: winter peaks, aging grid, outage resilience — batteries carry the case; solar pairs where viable</w:t>
      </w:r>
    </w:p>
    <w:p>
      <w:pPr>
        <w:pStyle w:val="ListBullet"/>
      </w:pPr>
      <w:r>
        <w:t>Funding logic: rate-based fleet gives Wisconsin utilities a compliance/resilience tool that draws on neither the strained $95M Focus on Energy budget nor federal grants</w:t>
      </w:r>
    </w:p>
    <w:p>
      <w:pPr>
        <w:pStyle w:val="Heading2"/>
      </w:pPr>
      <w:r>
        <w:rPr>
          <w:rFonts w:ascii="Arial" w:hAnsi="Arial"/>
          <w:b/>
          <w:color w:val="E87B22"/>
          <w:sz w:val="26"/>
        </w:rPr>
        <w:t>Target 2 — Louisiana / Gulf Coast (First Expansion, Years 1–2)</w:t>
      </w:r>
    </w:p>
    <w:p>
      <w:pPr>
        <w:pStyle w:val="ListBullet"/>
      </w:pPr>
      <w:r>
        <w:t>APTIM already in the room: Entergy New Orleans (2017) and Entergy Louisiana (2018) TPA seats</w:t>
      </w:r>
    </w:p>
    <w:p>
      <w:pPr>
        <w:pStyle w:val="ListBullet"/>
      </w:pPr>
      <w:r>
        <w:t>The program is already materializing: ~$28M battery/DER program approved Dec 2025, implementation plan filed March 2026</w:t>
      </w:r>
    </w:p>
    <w:p>
      <w:pPr>
        <w:pStyle w:val="ListBullet"/>
      </w:pPr>
      <w:r>
        <w:t>Demand driver: hurricanes — outage resilience is life-safety; strongest customer-acceptance story in the country</w:t>
      </w:r>
    </w:p>
    <w:p>
      <w:pPr>
        <w:pStyle w:val="ListBullet"/>
      </w:pPr>
      <w:r>
        <w:t>Political durability: resilience spending survives funding swings (Louisiana ended its 2026 efficiency program; storm-hardening continues)</w:t>
      </w:r>
    </w:p>
    <w:p>
      <w:pPr>
        <w:pStyle w:val="Heading2"/>
      </w:pPr>
      <w:r>
        <w:rPr>
          <w:rFonts w:ascii="Arial" w:hAnsi="Arial"/>
          <w:b/>
          <w:color w:val="E87B22"/>
          <w:sz w:val="26"/>
        </w:rPr>
        <w:t>Target 3 — Washington State (Growth Proof, Years 2–3)</w:t>
      </w:r>
    </w:p>
    <w:p>
      <w:pPr>
        <w:pStyle w:val="ListBullet"/>
      </w:pPr>
      <w:r>
        <w:t>Demand driver: Clean Buildings Performance Standard penalties begin June 2026 ($1.00/sq ft/yr); CETA requires 100% clean electricity by 2045</w:t>
      </w:r>
    </w:p>
    <w:p>
      <w:pPr>
        <w:pStyle w:val="ListBullet"/>
      </w:pPr>
      <w:r>
        <w:t>$150M+ in state early-adopter incentives sit largely untapped — a program-administration opportunity in itself</w:t>
      </w:r>
    </w:p>
    <w:p>
      <w:pPr>
        <w:pStyle w:val="ListBullet"/>
      </w:pPr>
      <w:r>
        <w:t>Honest caveat: Willdan just won Puget Sound Energy implementation work — the one contested territory; nobody offers fleet administration</w:t>
      </w:r>
    </w:p>
    <w:p>
      <w:pPr>
        <w:pStyle w:val="ListBullet"/>
      </w:pPr>
      <w:r>
        <w:t>Role in story: proves the model travels beyond APTIM's existing relationships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Market</w:t>
            </w:r>
          </w:p>
        </w:tc>
        <w:tc>
          <w:tcPr>
            <w:tcW w:type="dxa" w:w="2160"/>
          </w:tcPr>
          <w:p>
            <w:r/>
            <w:r>
              <w:rPr>
                <w:b/>
              </w:rPr>
              <w:t>Ease of Entry</w:t>
            </w:r>
          </w:p>
        </w:tc>
        <w:tc>
          <w:tcPr>
            <w:tcW w:type="dxa" w:w="2160"/>
          </w:tcPr>
          <w:p>
            <w:r/>
            <w:r>
              <w:rPr>
                <w:b/>
              </w:rPr>
              <w:t>Timeframe</w:t>
            </w:r>
          </w:p>
        </w:tc>
        <w:tc>
          <w:tcPr>
            <w:tcW w:type="dxa" w:w="2160"/>
          </w:tcPr>
          <w:p>
            <w:r/>
            <w:r>
              <w:rPr>
                <w:b/>
              </w:rPr>
              <w:t>Role</w:t>
            </w:r>
          </w:p>
        </w:tc>
      </w:tr>
      <w:tr>
        <w:tc>
          <w:tcPr>
            <w:tcW w:type="dxa" w:w="2160"/>
          </w:tcPr>
          <w:p>
            <w:r>
              <w:t>Wisconsin</w:t>
            </w:r>
          </w:p>
        </w:tc>
        <w:tc>
          <w:tcPr>
            <w:tcW w:type="dxa" w:w="2160"/>
          </w:tcPr>
          <w:p>
            <w:r>
              <w:t>Highest — incumbent administrator</w:t>
            </w:r>
          </w:p>
        </w:tc>
        <w:tc>
          <w:tcPr>
            <w:tcW w:type="dxa" w:w="2160"/>
          </w:tcPr>
          <w:p>
            <w:r>
              <w:t>Year 1</w:t>
            </w:r>
          </w:p>
        </w:tc>
        <w:tc>
          <w:tcPr>
            <w:tcW w:type="dxa" w:w="2160"/>
          </w:tcPr>
          <w:p>
            <w:r>
              <w:t>PILOT</w:t>
            </w:r>
          </w:p>
        </w:tc>
      </w:tr>
      <w:tr>
        <w:tc>
          <w:tcPr>
            <w:tcW w:type="dxa" w:w="2160"/>
          </w:tcPr>
          <w:p>
            <w:r>
              <w:t>Louisiana / Gulf</w:t>
            </w:r>
          </w:p>
        </w:tc>
        <w:tc>
          <w:tcPr>
            <w:tcW w:type="dxa" w:w="2160"/>
          </w:tcPr>
          <w:p>
            <w:r>
              <w:t>High — Entergy seats; program already funded</w:t>
            </w:r>
          </w:p>
        </w:tc>
        <w:tc>
          <w:tcPr>
            <w:tcW w:type="dxa" w:w="2160"/>
          </w:tcPr>
          <w:p>
            <w:r>
              <w:t>Years 1–2</w:t>
            </w:r>
          </w:p>
        </w:tc>
        <w:tc>
          <w:tcPr>
            <w:tcW w:type="dxa" w:w="2160"/>
          </w:tcPr>
          <w:p>
            <w:r>
              <w:t>FIRST EXPANSION</w:t>
            </w:r>
          </w:p>
        </w:tc>
      </w:tr>
      <w:tr>
        <w:tc>
          <w:tcPr>
            <w:tcW w:type="dxa" w:w="2160"/>
          </w:tcPr>
          <w:p>
            <w:r>
              <w:t>Washington</w:t>
            </w:r>
          </w:p>
        </w:tc>
        <w:tc>
          <w:tcPr>
            <w:tcW w:type="dxa" w:w="2160"/>
          </w:tcPr>
          <w:p>
            <w:r>
              <w:t>Medium — no incumbency, one competitor present</w:t>
            </w:r>
          </w:p>
        </w:tc>
        <w:tc>
          <w:tcPr>
            <w:tcW w:type="dxa" w:w="2160"/>
          </w:tcPr>
          <w:p>
            <w:r>
              <w:t>Years 2–3</w:t>
            </w:r>
          </w:p>
        </w:tc>
        <w:tc>
          <w:tcPr>
            <w:tcW w:type="dxa" w:w="2160"/>
          </w:tcPr>
          <w:p>
            <w:r>
              <w:t>GROWTH PROOF</w:t>
            </w:r>
          </w:p>
        </w:tc>
      </w:tr>
    </w:tbl>
    <w:p/>
    <w:p>
      <w:r>
        <w:rPr>
          <w:b w:val="0"/>
          <w:i w:val="0"/>
        </w:rPr>
        <w:t>Excluded on purpose: California and Texas (saturated by Sunrun, Tesla, Base Power, Willdan); New England (GMP self-administers); NYC (Local Law 97 is a commercial-buildings play — keep as future variant).</w:t>
      </w:r>
    </w:p>
    <w:p>
      <w:pPr>
        <w:pStyle w:val="Heading1"/>
      </w:pPr>
      <w:r>
        <w:rPr>
          <w:rFonts w:ascii="Arial" w:hAnsi="Arial"/>
          <w:b/>
          <w:color w:val="1B2A5E"/>
          <w:sz w:val="32"/>
        </w:rPr>
        <w:t>6. Why the Client Says Yes</w:t>
      </w:r>
    </w:p>
    <w:p>
      <w:pPr>
        <w:pStyle w:val="Heading2"/>
      </w:pPr>
      <w:r>
        <w:rPr>
          <w:rFonts w:ascii="Arial" w:hAnsi="Arial"/>
          <w:b/>
          <w:color w:val="E87B22"/>
          <w:sz w:val="26"/>
        </w:rPr>
        <w:t>The Utility (primary client)</w:t>
      </w:r>
    </w:p>
    <w:p>
      <w:pPr>
        <w:pStyle w:val="ListBullet"/>
      </w:pPr>
      <w:r>
        <w:t>Grid demand is surging (data centers, EVs, electrification) — peak capacity must come from somewhere</w:t>
      </w:r>
    </w:p>
    <w:p>
      <w:pPr>
        <w:pStyle w:val="ListBullet"/>
      </w:pPr>
      <w:r>
        <w:t>Distributed batteries are a non-wires alternative — often cheaper than peaker plants or wire upgrades; regulators increasingly favor them</w:t>
      </w:r>
    </w:p>
    <w:p>
      <w:pPr>
        <w:pStyle w:val="ListBullet"/>
      </w:pPr>
      <w:r>
        <w:t>The utility EARNS its regulated return on the investment — rate-base growth is how utilities make money</w:t>
      </w:r>
    </w:p>
    <w:p>
      <w:pPr>
        <w:pStyle w:val="ListBullet"/>
      </w:pPr>
      <w:r>
        <w:t>Deploying in low-income and outage-prone neighborhoods earns regulatory goodwill for future rate cases</w:t>
      </w:r>
    </w:p>
    <w:p>
      <w:pPr>
        <w:pStyle w:val="ListBullet"/>
      </w:pPr>
      <w:r>
        <w:t>APTIM removes the operational burden utilities cannot staff internally</w:t>
      </w:r>
    </w:p>
    <w:p>
      <w:pPr>
        <w:pStyle w:val="Heading2"/>
      </w:pPr>
      <w:r>
        <w:rPr>
          <w:rFonts w:ascii="Arial" w:hAnsi="Arial"/>
          <w:b/>
          <w:color w:val="E87B22"/>
          <w:sz w:val="26"/>
        </w:rPr>
        <w:t>The Household (host)</w:t>
      </w:r>
    </w:p>
    <w:p>
      <w:pPr>
        <w:pStyle w:val="ListBullet"/>
      </w:pPr>
      <w:r>
        <w:t>Pays nothing — ever. Free backup power, lower bills where paired with solar, zero maintenance responsibility</w:t>
      </w:r>
    </w:p>
    <w:p>
      <w:pPr>
        <w:pStyle w:val="Heading2"/>
      </w:pPr>
      <w:r>
        <w:rPr>
          <w:rFonts w:ascii="Arial" w:hAnsi="Arial"/>
          <w:b/>
          <w:color w:val="E87B22"/>
          <w:sz w:val="26"/>
        </w:rPr>
        <w:t>The Regulator (approval gatekeeper)</w:t>
      </w:r>
    </w:p>
    <w:p>
      <w:pPr>
        <w:pStyle w:val="ListBullet"/>
      </w:pPr>
      <w:r>
        <w:t>Cheaper than the alternative infrastructure; resilience delivered to vulnerable communities without a new tax or appropriation</w:t>
      </w:r>
    </w:p>
    <w:p>
      <w:pPr>
        <w:pStyle w:val="Heading1"/>
      </w:pPr>
      <w:r>
        <w:rPr>
          <w:rFonts w:ascii="Arial" w:hAnsi="Arial"/>
          <w:b/>
          <w:color w:val="1B2A5E"/>
          <w:sz w:val="32"/>
        </w:rPr>
        <w:t>7. Maintenance: Who Takes Care of It and What It Costs</w:t>
      </w:r>
    </w:p>
    <w:p>
      <w:r>
        <w:rPr>
          <w:b/>
          <w:i w:val="0"/>
        </w:rPr>
        <w:t>Industry pattern from live programs: WHO OWNS = WHO MAINTAINS. The utility owns the fleet, so the utility (via APTIM's contractor network) maintains it. The household has zero maintenance responsibility.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Item</w:t>
            </w:r>
          </w:p>
        </w:tc>
        <w:tc>
          <w:tcPr>
            <w:tcW w:type="dxa" w:w="2880"/>
          </w:tcPr>
          <w:p>
            <w:r/>
            <w:r>
              <w:rPr>
                <w:b/>
              </w:rPr>
              <w:t>Reality</w:t>
            </w:r>
          </w:p>
        </w:tc>
        <w:tc>
          <w:tcPr>
            <w:tcW w:type="dxa" w:w="2880"/>
          </w:tcPr>
          <w:p>
            <w:r/>
            <w:r>
              <w:rPr>
                <w:b/>
              </w:rPr>
              <w:t>Cost</w:t>
            </w:r>
          </w:p>
        </w:tc>
      </w:tr>
      <w:tr>
        <w:tc>
          <w:tcPr>
            <w:tcW w:type="dxa" w:w="2880"/>
          </w:tcPr>
          <w:p>
            <w:r>
              <w:t>Batteries</w:t>
            </w:r>
          </w:p>
        </w:tc>
        <w:tc>
          <w:tcPr>
            <w:tcW w:type="dxa" w:w="2880"/>
          </w:tcPr>
          <w:p>
            <w:r>
              <w:t>Maintenance-free by design; Tesla: 10-yr warranty, ≥70% capacity; Enphase: 15-yr / 6,000 cycles</w:t>
            </w:r>
          </w:p>
        </w:tc>
        <w:tc>
          <w:tcPr>
            <w:tcW w:type="dxa" w:w="2880"/>
          </w:tcPr>
          <w:p>
            <w:r>
              <w:t>Warranty-covered in years 1–10/15</w:t>
            </w:r>
          </w:p>
        </w:tc>
      </w:tr>
      <w:tr>
        <w:tc>
          <w:tcPr>
            <w:tcW w:type="dxa" w:w="2880"/>
          </w:tcPr>
          <w:p>
            <w:r>
              <w:t>Solar panels</w:t>
            </w:r>
          </w:p>
        </w:tc>
        <w:tc>
          <w:tcPr>
            <w:tcW w:type="dxa" w:w="2880"/>
          </w:tcPr>
          <w:p>
            <w:r>
              <w:t>~25-year life, passive</w:t>
            </w:r>
          </w:p>
        </w:tc>
        <w:tc>
          <w:tcPr>
            <w:tcW w:type="dxa" w:w="2880"/>
          </w:tcPr>
          <w:p>
            <w:r>
              <w:t>$150–$400/household/yr routine O&amp;M</w:t>
            </w:r>
          </w:p>
        </w:tc>
      </w:tr>
      <w:tr>
        <w:tc>
          <w:tcPr>
            <w:tcW w:type="dxa" w:w="2880"/>
          </w:tcPr>
          <w:p>
            <w:r>
              <w:t>Inverter</w:t>
            </w:r>
          </w:p>
        </w:tc>
        <w:tc>
          <w:tcPr>
            <w:tcW w:type="dxa" w:w="2880"/>
          </w:tcPr>
          <w:p>
            <w:r>
              <w:t>The one real O&amp;M event — replacement at year 10–15</w:t>
            </w:r>
          </w:p>
        </w:tc>
        <w:tc>
          <w:tcPr>
            <w:tcW w:type="dxa" w:w="2880"/>
          </w:tcPr>
          <w:p>
            <w:r>
              <w:t>$800–$2,500 per replacement</w:t>
            </w:r>
          </w:p>
        </w:tc>
      </w:tr>
      <w:tr>
        <w:tc>
          <w:tcPr>
            <w:tcW w:type="dxa" w:w="2880"/>
          </w:tcPr>
          <w:p>
            <w:r>
              <w:t>Design note</w:t>
            </w:r>
          </w:p>
        </w:tc>
        <w:tc>
          <w:tcPr>
            <w:tcW w:type="dxa" w:w="2880"/>
          </w:tcPr>
          <w:p>
            <w:r>
              <w:t>Daily VPP dispatch consumes battery cycles faster than backup-only use</w:t>
            </w:r>
          </w:p>
        </w:tc>
        <w:tc>
          <w:tcPr>
            <w:tcW w:type="dxa" w:w="2880"/>
          </w:tcPr>
          <w:p>
            <w:r>
              <w:t>Program budgets a cycle/replacement reserve</w:t>
            </w:r>
          </w:p>
        </w:tc>
      </w:tr>
    </w:tbl>
    <w:p/>
    <w:p>
      <w:r>
        <w:rPr>
          <w:b w:val="0"/>
          <w:i w:val="0"/>
        </w:rPr>
        <w:t>O&amp;M funding source: dispatch value. The avoided-capacity value the utility captures ($500–$1,500/kW) funds the O&amp;M reserve — the asset pays for its own upkeep, as with any rate-based infrastructure.</w:t>
      </w:r>
    </w:p>
    <w:p>
      <w:r>
        <w:rPr>
          <w:b w:val="0"/>
          <w:i w:val="0"/>
        </w:rPr>
        <w:t>Precedents: Green Mountain Power (utility maintains everything); Hawaiian Electric BYOD Plus (pays a dedicated $400/kW low-to-moderate-income adder — the income-qualified VPP design already exists).</w:t>
      </w:r>
    </w:p>
    <w:p>
      <w:pPr>
        <w:pStyle w:val="Heading1"/>
      </w:pPr>
      <w:r>
        <w:rPr>
          <w:rFonts w:ascii="Arial" w:hAnsi="Arial"/>
          <w:b/>
          <w:color w:val="1B2A5E"/>
          <w:sz w:val="32"/>
        </w:rPr>
        <w:t>8. Hard Questions Leadership Will Ask (and Our Answers)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Question</w:t>
            </w:r>
          </w:p>
        </w:tc>
        <w:tc>
          <w:tcPr>
            <w:tcW w:type="dxa" w:w="4320"/>
          </w:tcPr>
          <w:p>
            <w:r/>
            <w:r>
              <w:rPr>
                <w:b/>
              </w:rPr>
              <w:t>Our Answer</w:t>
            </w:r>
          </w:p>
        </w:tc>
      </w:tr>
      <w:tr>
        <w:tc>
          <w:tcPr>
            <w:tcW w:type="dxa" w:w="4320"/>
          </w:tcPr>
          <w:p>
            <w:r>
              <w:t>Why would a utility spend capital under funding uncertainty?</w:t>
            </w:r>
          </w:p>
        </w:tc>
        <w:tc>
          <w:tcPr>
            <w:tcW w:type="dxa" w:w="4320"/>
          </w:tcPr>
          <w:p>
            <w:r>
              <w:t>Utilities WANT to deploy capital — rate-based assets are how they earn returns. Funding uncertainty kills grant programs, not rate-based infrastructure. Surging grid demand makes peak-capacity investment unavoidable; this is the cheaper way to buy it.</w:t>
            </w:r>
          </w:p>
        </w:tc>
      </w:tr>
      <w:tr>
        <w:tc>
          <w:tcPr>
            <w:tcW w:type="dxa" w:w="4320"/>
          </w:tcPr>
          <w:p>
            <w:r>
              <w:t>Will regulators approve rate-basing home batteries?</w:t>
            </w:r>
          </w:p>
        </w:tc>
        <w:tc>
          <w:tcPr>
            <w:tcW w:type="dxa" w:w="4320"/>
          </w:tcPr>
          <w:p>
            <w:r>
              <w:t>Already done twice: Vermont (2020, caps lifted 2023) and New Hampshire (2019). Approval case: cheaper than the peaker alternative + equity benefits. Regulatory approval is the honest pacing item — hence piloting where APTIM knows the regulator.</w:t>
            </w:r>
          </w:p>
        </w:tc>
      </w:tr>
      <w:tr>
        <w:tc>
          <w:tcPr>
            <w:tcW w:type="dxa" w:w="4320"/>
          </w:tcPr>
          <w:p>
            <w:r>
              <w:t>Isn't this just what Tesla/Sunrun does?</w:t>
            </w:r>
          </w:p>
        </w:tc>
        <w:tc>
          <w:tcPr>
            <w:tcW w:type="dxa" w:w="4320"/>
          </w:tcPr>
          <w:p>
            <w:r>
              <w:t>No. Tesla enrolls batteries customers bought; Sunrun sells capacity from fleets Sunrun owns. Neither does field administration of utility-owned assets. In our program Tesla is a supplier, not a competitor.</w:t>
            </w:r>
          </w:p>
        </w:tc>
      </w:tr>
      <w:tr>
        <w:tc>
          <w:tcPr>
            <w:tcW w:type="dxa" w:w="4320"/>
          </w:tcPr>
          <w:p>
            <w:r>
              <w:t>Isn't this just what CLEAResult does?</w:t>
            </w:r>
          </w:p>
        </w:tc>
        <w:tc>
          <w:tcPr>
            <w:tcW w:type="dxa" w:w="4320"/>
          </w:tcPr>
          <w:p>
            <w:r>
              <w:t>No — CLEAResult and every other DSM administrator runs customer-owned (BYOD) device programs. None administers utility-owned battery assets. The seat is empty; GMP had to build it in-house.</w:t>
            </w:r>
          </w:p>
        </w:tc>
      </w:tr>
      <w:tr>
        <w:tc>
          <w:tcPr>
            <w:tcW w:type="dxa" w:w="4320"/>
          </w:tcPr>
          <w:p>
            <w:r>
              <w:t>What about Swell Energy — did this model not already fail?</w:t>
            </w:r>
          </w:p>
        </w:tc>
        <w:tc>
          <w:tcPr>
            <w:tcW w:type="dxa" w:w="4320"/>
          </w:tcPr>
          <w:p>
            <w:r>
              <w:t>Swell failed as a venture-funded startup carrying hardware financing risk on its own balance sheet. APTIM is fee-for-service on utility-owned assets — no hardware on our books. Swell's collapse is why utilities now prefer exactly this structure.</w:t>
            </w:r>
          </w:p>
        </w:tc>
      </w:tr>
      <w:tr>
        <w:tc>
          <w:tcPr>
            <w:tcW w:type="dxa" w:w="4320"/>
          </w:tcPr>
          <w:p>
            <w:r>
              <w:t>What if battery prices or tariffs spike?</w:t>
            </w:r>
          </w:p>
        </w:tc>
        <w:tc>
          <w:tcPr>
            <w:tcW w:type="dxa" w:w="4320"/>
          </w:tcPr>
          <w:p>
            <w:r>
              <w:t>Fleet procurement is the utility's capital decision, sized in the rate case. APTIM's revenue is the administration fee — level-of-effort based, insulated from hardware price swings.</w:t>
            </w:r>
          </w:p>
        </w:tc>
      </w:tr>
      <w:tr>
        <w:tc>
          <w:tcPr>
            <w:tcW w:type="dxa" w:w="4320"/>
          </w:tcPr>
          <w:p>
            <w:r>
              <w:t>Why APTIM, why now?</w:t>
            </w:r>
          </w:p>
        </w:tc>
        <w:tc>
          <w:tcPr>
            <w:tcW w:type="dxa" w:w="4320"/>
          </w:tcPr>
          <w:p>
            <w:r>
              <w:t>Our Town Hall surfaced the internal fear: over-reliance on politically dependent programs. This diversifies APTIM into rate-based infrastructure services — the most federal-proof revenue in the sector — and Entergy New Orleans shows the demand arriving on APTIM's desk already.</w:t>
            </w:r>
          </w:p>
        </w:tc>
      </w:tr>
    </w:tbl>
    <w:p/>
    <w:p>
      <w:pPr>
        <w:pStyle w:val="Heading1"/>
      </w:pPr>
      <w:r>
        <w:rPr>
          <w:rFonts w:ascii="Arial" w:hAnsi="Arial"/>
          <w:b/>
          <w:color w:val="1B2A5E"/>
          <w:sz w:val="32"/>
        </w:rPr>
        <w:t>9. Decisions We Need to Make Thursday</w:t>
      </w:r>
    </w:p>
    <w:p>
      <w:pPr>
        <w:pStyle w:val="ListBullet"/>
      </w:pPr>
      <w:r>
        <w:t>1. Do we adopt the utility-owned battery + solar fleet as our anchor pitch? (This document recommends YES)</w:t>
      </w:r>
    </w:p>
    <w:p>
      <w:pPr>
        <w:pStyle w:val="ListBullet"/>
      </w:pPr>
      <w:r>
        <w:t>2. Do we lock Wisconsin as the pilot use case, with Louisiana as first expansion and Washington as the growth story?</w:t>
      </w:r>
    </w:p>
    <w:p>
      <w:pPr>
        <w:pStyle w:val="ListBullet"/>
      </w:pPr>
      <w:r>
        <w:t>3. Slide ownership: problem definition (Maija), market analysis (Jenny), competitive landscape (Christian — drafted), service concept/business case, pilot use case</w:t>
      </w:r>
    </w:p>
    <w:p>
      <w:pPr>
        <w:pStyle w:val="ListBullet"/>
      </w:pPr>
      <w:r>
        <w:t>4. Numbers still needed for the business case: battery+solar capex per household, Wisconsin peak capacity costs, pilot fleet size, APTIM administration fee structure</w:t>
      </w:r>
    </w:p>
    <w:p>
      <w:pPr>
        <w:pStyle w:val="ListBullet"/>
      </w:pPr>
      <w:r>
        <w:t>5. Do we bring this to Erin Soman / Alex Scott for a sanity check before the Friday review with Samantha?</w:t>
      </w:r>
    </w:p>
    <w:p/>
    <w:p>
      <w:r>
        <w:rPr>
          <w:i/>
          <w:sz w:val="18"/>
        </w:rPr>
        <w:t>Supporting documents: STRIVE_Capstone_Competitive_Landscape_Battery_Fleet.docx (full competitive analysis and target-market detail). Sources on file: VT PUC 23-3501-PET; NH Docket DE 17-189; Entergy New Orleans Energy Smart filings; WA Commerce CBPS; Colorado Energy Office VXC/SB21-260; Tesla/Enphase warranties; GMP program tariffs; Hawaiian Electric BYOD Plus; ACEEE 2025 Scorecard; PSC Wisconsin. Full research threads available from Christian.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