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5E"/>
          <w:sz w:val="40"/>
        </w:rPr>
        <w:t>STRIVE Capstone — Group 1</w:t>
        <w:br/>
        <w:t>Proposed Direction: Utility-Owned Distributed Battery Fleet</w:t>
      </w:r>
    </w:p>
    <w:p>
      <w:pPr>
        <w:jc w:val="center"/>
      </w:pPr>
      <w:r>
        <w:rPr>
          <w:i/>
          <w:sz w:val="20"/>
        </w:rPr>
        <w:t>Team Briefing for Thursday Meeting | Prepared by Christian (Utilities Research)</w:t>
        <w:br/>
        <w:t>Internal working document — Group 1 discussion only</w:t>
      </w:r>
    </w:p>
    <w:p/>
    <w:p>
      <w:pPr>
        <w:pStyle w:val="Heading1"/>
      </w:pPr>
      <w:r>
        <w:rPr>
          <w:rFonts w:ascii="Arial" w:hAnsi="Arial"/>
          <w:b/>
          <w:color w:val="1B2A5E"/>
          <w:sz w:val="32"/>
        </w:rPr>
        <w:t>1. Where We Are and Why This Document Exists</w:t>
      </w:r>
    </w:p>
    <w:p>
      <w:r>
        <w:rPr>
          <w:b w:val="0"/>
          <w:i w:val="0"/>
        </w:rPr>
        <w:t>Samantha's feedback changed our direction: leadership wants a SPECIFIC program with real numbers for one region — not a broad toolkit. She specifically pointed at ideas like batteries + solar as the level of specificity they want, and asked us to answer: why would the client say yes, why is it financially beneficial, and how would it scale.</w:t>
      </w:r>
    </w:p>
    <w:p>
      <w:r>
        <w:rPr>
          <w:b w:val="0"/>
          <w:i w:val="0"/>
        </w:rPr>
        <w:t>This document proposes a specific anchor program that keeps our toolkit work as the delivery framework, answers the funding uncertainty prompt at its root, and fixes the fatal flaw that made us drop batteries + solar the first time.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2. The Flaw We Had to Solve First</w:t>
      </w:r>
    </w:p>
    <w:p>
      <w:r>
        <w:rPr>
          <w:b/>
          <w:i w:val="0"/>
        </w:rPr>
        <w:t>Every consumer-facing battery + solar model fails the same way:</w:t>
      </w:r>
    </w:p>
    <w:p>
      <w:pPr>
        <w:pStyle w:val="ListBullet"/>
      </w:pPr>
      <w:r>
        <w:t>Customers will not take on the upfront cost — even middle-income households will not voluntarily spend thousands on energy resilience. There is not enough consumer urgency around resilience to push that agenda.</w:t>
      </w:r>
    </w:p>
    <w:p>
      <w:pPr>
        <w:pStyle w:val="ListBullet"/>
      </w:pPr>
      <w:r>
        <w:t>Monthly-payment models (e.g., Green Mountain Power's $55/month battery lease) do not work for income-qualified households — a family struggling with bills will not add a $55 line item.</w:t>
      </w:r>
    </w:p>
    <w:p>
      <w:pPr>
        <w:pStyle w:val="ListBullet"/>
      </w:pPr>
      <w:r>
        <w:t>Incentive-covered models just re-import the original problem: if the program only works when federal rebates cover the hardware, then the program dies when federal funding dies. That IS the funding uncertainty problem — not a solution to it.</w:t>
      </w:r>
    </w:p>
    <w:p>
      <w:r>
        <w:rPr>
          <w:b/>
          <w:i w:val="0"/>
        </w:rPr>
        <w:t>Conclusion: any model that depends on convincing a household to spend money is dead on arrival. The fix is to remove the customer from the buying decision entirely.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3. The Proposal: Batteries as Utility-Owned Grid Infrastructure</w:t>
      </w:r>
    </w:p>
    <w:p>
      <w:r>
        <w:rPr>
          <w:b w:val="0"/>
          <w:i/>
        </w:rPr>
        <w:t>Stop treating the battery as a consumer product. Treat it as utility equipment that happens to sit in a garage — like a distributed substation.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How It Works</w:t>
      </w:r>
    </w:p>
    <w:p>
      <w:pPr>
        <w:pStyle w:val="ListBullet"/>
      </w:pPr>
      <w:r>
        <w:t>The UTILITY finances and owns the batteries and rate-bases them as grid infrastructure, exactly as it does poles, wires, and substations.</w:t>
      </w:r>
    </w:p>
    <w:p>
      <w:pPr>
        <w:pStyle w:val="ListBullet"/>
      </w:pPr>
      <w:r>
        <w:t>The HOUSEHOLD only hosts the battery: signs a hosting agreement, pays $0 upfront and $0 monthly, and receives free backup power (plus bill savings where paired with solar).</w:t>
      </w:r>
    </w:p>
    <w:p>
      <w:pPr>
        <w:pStyle w:val="ListBullet"/>
      </w:pPr>
      <w:r>
        <w:t>The UTILITY dispatches the battery fleet at peak demand, capturing avoided peak capacity value of roughly $500–$1,500 per kW — the batteries are cheaper than the peaker plant or wires upgrade they replace.</w:t>
      </w:r>
    </w:p>
    <w:p>
      <w:pPr>
        <w:pStyle w:val="ListBullet"/>
      </w:pPr>
      <w:r>
        <w:t>APTIM administers everything: site selection and fleet planning, customer recruitment and hosting agreements, contractor network management, installation QA, program reporting, and regulatory compliance documentation.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Why This Answers the Prompt Better Than Anything Else We Have</w:t>
      </w:r>
    </w:p>
    <w:p>
      <w:pPr>
        <w:pStyle w:val="ListBullet"/>
      </w:pPr>
      <w:r>
        <w:t>Ratepayer-financed infrastructure does not depend on federal grants AT ALL. Our research proves the pattern: fee/rate-funded programs survive (Colorado VXC raised its rebates in Nov 2025 while federal credits died); appropriation-funded programs get cut (New Jersey raided $190M from its own Clean Energy Fund).</w:t>
      </w:r>
    </w:p>
    <w:p>
      <w:pPr>
        <w:pStyle w:val="ListBullet"/>
      </w:pPr>
      <w:r>
        <w:t>It is specific — one program, one client type, one region, real numbers — exactly what Samantha said leadership wants.</w:t>
      </w:r>
    </w:p>
    <w:p>
      <w:pPr>
        <w:pStyle w:val="ListBullet"/>
      </w:pPr>
      <w:r>
        <w:t>It uses APTIM's existing capabilities: program administration, contractor networks, customer engagement, rebate/incentive management, compliance reporting. No new technology invention (prompt constraint met).</w:t>
      </w:r>
    </w:p>
    <w:p>
      <w:pPr>
        <w:pStyle w:val="ListBullet"/>
      </w:pPr>
      <w:r>
        <w:t>It is the 'foot in the door' leadership wants: APTIM becomes the utility's standing partner for distributed infrastructure, positioned for every future program.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Where the Toolkit Fits (Our Prior Work Is Not Wasted)</w:t>
      </w:r>
    </w:p>
    <w:p>
      <w:r>
        <w:rPr>
          <w:b w:val="0"/>
          <w:i w:val="0"/>
        </w:rPr>
        <w:t>The Program Resilience Toolkit becomes the delivery framework for this program — adaptation/relaunch support, funding navigation, compliance/reporting, contractor continuity are the four modules APTIM uses to run the fleet program. The toolkit is HOW; the battery fleet is WHAT.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4. Why the Client Says Yes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The Utility (primary client)</w:t>
      </w:r>
    </w:p>
    <w:p>
      <w:pPr>
        <w:pStyle w:val="ListBullet"/>
      </w:pPr>
      <w:r>
        <w:t>Grid demand is surging (data centers, EVs, electrification) — they need peak capacity from somewhere.</w:t>
      </w:r>
    </w:p>
    <w:p>
      <w:pPr>
        <w:pStyle w:val="ListBullet"/>
      </w:pPr>
      <w:r>
        <w:t>Distributed batteries are a 'non-wires alternative' — often cheaper than new peaker plants or transmission upgrades, and regulators increasingly favor them.</w:t>
      </w:r>
    </w:p>
    <w:p>
      <w:pPr>
        <w:pStyle w:val="ListBullet"/>
      </w:pPr>
      <w:r>
        <w:t>The utility EARNS its regulated return on the battery investment — this grows their rate base, which is how utilities make money.</w:t>
      </w:r>
    </w:p>
    <w:p>
      <w:pPr>
        <w:pStyle w:val="ListBullet"/>
      </w:pPr>
      <w:r>
        <w:t>Deploying in low-income neighborhoods satisfies equity mandates and earns regulatory goodwill for future rate cases.</w:t>
      </w:r>
    </w:p>
    <w:p>
      <w:pPr>
        <w:pStyle w:val="ListBullet"/>
      </w:pPr>
      <w:r>
        <w:t>APTIM removes the operational burden — utilities have no field capacity to recruit households, manage installers, or administer a fleet program.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The Household (host)</w:t>
      </w:r>
    </w:p>
    <w:p>
      <w:pPr>
        <w:pStyle w:val="ListBullet"/>
      </w:pPr>
      <w:r>
        <w:t>Pays nothing — ever. Receives free backup power during outages and lower bills where paired with solar.</w:t>
      </w:r>
    </w:p>
    <w:p>
      <w:pPr>
        <w:pStyle w:val="ListBullet"/>
      </w:pPr>
      <w:r>
        <w:t>No maintenance responsibility (see Section 6).</w:t>
      </w:r>
    </w:p>
    <w:p>
      <w:pPr>
        <w:pStyle w:val="Heading2"/>
      </w:pPr>
      <w:r>
        <w:rPr>
          <w:rFonts w:ascii="Arial" w:hAnsi="Arial"/>
          <w:b/>
          <w:color w:val="E87B22"/>
          <w:sz w:val="26"/>
        </w:rPr>
        <w:t>The Regulator (approval gatekeeper)</w:t>
      </w:r>
    </w:p>
    <w:p>
      <w:pPr>
        <w:pStyle w:val="ListBullet"/>
      </w:pPr>
      <w:r>
        <w:t>Cheaper than the alternative infrastructure (ratepayers save vs. a peaker plant).</w:t>
      </w:r>
    </w:p>
    <w:p>
      <w:pPr>
        <w:pStyle w:val="ListBullet"/>
      </w:pPr>
      <w:r>
        <w:t>Resilience delivered to vulnerable communities without a new tax or appropriation.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5. The Prioritization Framework: Where This Scales</w:t>
      </w:r>
    </w:p>
    <w:p>
      <w:r>
        <w:rPr>
          <w:b w:val="0"/>
          <w:i w:val="0"/>
        </w:rPr>
        <w:t>Alex Scott's guidance: target places where clean energy laws create mandates and check whether they are funded. The gap between mandated and funded is APTIM's market. Our research filled in the map: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State/City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Mandate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Funding Reality</w:t>
            </w:r>
          </w:p>
        </w:tc>
      </w:tr>
      <w:tr>
        <w:tc>
          <w:tcPr>
            <w:tcW w:type="dxa" w:w="2880"/>
          </w:tcPr>
          <w:p>
            <w:r>
              <w:t>NYC — Local Law 97</w:t>
            </w:r>
          </w:p>
        </w:tc>
        <w:tc>
          <w:tcPr>
            <w:tcW w:type="dxa" w:w="2880"/>
          </w:tcPr>
          <w:p>
            <w:r>
              <w:t>Emissions caps; $268/ton fines began 2025; ~1,400 buildings already in enforcement</w:t>
            </w:r>
          </w:p>
        </w:tc>
        <w:tc>
          <w:tcPr>
            <w:tcW w:type="dxa" w:w="2880"/>
          </w:tcPr>
          <w:p>
            <w:r>
              <w:t>Essentially unfunded — owners are choosing fines over retrofits</w:t>
            </w:r>
          </w:p>
        </w:tc>
      </w:tr>
      <w:tr>
        <w:tc>
          <w:tcPr>
            <w:tcW w:type="dxa" w:w="2880"/>
          </w:tcPr>
          <w:p>
            <w:r>
              <w:t>Washington — CBPS</w:t>
            </w:r>
          </w:p>
        </w:tc>
        <w:tc>
          <w:tcPr>
            <w:tcW w:type="dxa" w:w="2880"/>
          </w:tcPr>
          <w:p>
            <w:r>
              <w:t>$1.00/sq ft/yr penalties phasing in from June 2026</w:t>
            </w:r>
          </w:p>
        </w:tc>
        <w:tc>
          <w:tcPr>
            <w:tcW w:type="dxa" w:w="2880"/>
          </w:tcPr>
          <w:p>
            <w:r>
              <w:t>Partially funded: $75M + $150M early-adopter pots sit largely UNTAPPED — an administration opportunity itself</w:t>
            </w:r>
          </w:p>
        </w:tc>
      </w:tr>
      <w:tr>
        <w:tc>
          <w:tcPr>
            <w:tcW w:type="dxa" w:w="2880"/>
          </w:tcPr>
          <w:p>
            <w:r>
              <w:t>Maryland — BEPS</w:t>
            </w:r>
          </w:p>
        </w:tc>
        <w:tc>
          <w:tcPr>
            <w:tcW w:type="dxa" w:w="2880"/>
          </w:tcPr>
          <w:p>
            <w:r>
              <w:t>Net-zero building emissions by 2040; survived court challenge April 2026</w:t>
            </w:r>
          </w:p>
        </w:tc>
        <w:tc>
          <w:tcPr>
            <w:tcW w:type="dxa" w:w="2880"/>
          </w:tcPr>
          <w:p>
            <w:r>
              <w:t>No dedicated compliance fund</w:t>
            </w:r>
          </w:p>
        </w:tc>
      </w:tr>
      <w:tr>
        <w:tc>
          <w:tcPr>
            <w:tcW w:type="dxa" w:w="2880"/>
          </w:tcPr>
          <w:p>
            <w:r>
              <w:t>New Jersey</w:t>
            </w:r>
          </w:p>
        </w:tc>
        <w:tc>
          <w:tcPr>
            <w:tcW w:type="dxa" w:w="2880"/>
          </w:tcPr>
          <w:p>
            <w:r>
              <w:t>100% clean energy by 2035</w:t>
            </w:r>
          </w:p>
        </w:tc>
        <w:tc>
          <w:tcPr>
            <w:tcW w:type="dxa" w:w="2880"/>
          </w:tcPr>
          <w:p>
            <w:r>
              <w:t>State raided $190M from its own Clean Energy Fund in FY2026 — 17th straight year of diversions</w:t>
            </w:r>
          </w:p>
        </w:tc>
      </w:tr>
      <w:tr>
        <w:tc>
          <w:tcPr>
            <w:tcW w:type="dxa" w:w="2880"/>
          </w:tcPr>
          <w:p>
            <w:r>
              <w:t>Colorado — Reg 28 BPS</w:t>
            </w:r>
          </w:p>
        </w:tc>
        <w:tc>
          <w:tcPr>
            <w:tcW w:type="dxa" w:w="2880"/>
          </w:tcPr>
          <w:p>
            <w:r>
              <w:t>~8,000 buildings; 20% emissions cut by 2030</w:t>
            </w:r>
          </w:p>
        </w:tc>
        <w:tc>
          <w:tcPr>
            <w:tcW w:type="dxa" w:w="2880"/>
          </w:tcPr>
          <w:p>
            <w:r>
              <w:t>No compliance appropriation, but enterprise-fee model (VXC) shows the survivable funding structure</w:t>
            </w:r>
          </w:p>
        </w:tc>
      </w:tr>
      <w:tr>
        <w:tc>
          <w:tcPr>
            <w:tcW w:type="dxa" w:w="2880"/>
          </w:tcPr>
          <w:p>
            <w:r>
              <w:t>Wisconsin (pilot)</w:t>
            </w:r>
          </w:p>
        </w:tc>
        <w:tc>
          <w:tcPr>
            <w:tcW w:type="dxa" w:w="2880"/>
          </w:tcPr>
          <w:p>
            <w:r>
              <w:t>EERS-driven; Focus on Energy demand exceeds budget</w:t>
            </w:r>
          </w:p>
        </w:tc>
        <w:tc>
          <w:tcPr>
            <w:tcW w:type="dxa" w:w="2880"/>
          </w:tcPr>
          <w:p>
            <w:r>
              <w:t>APTIM already administers: $95M base, $149M IRA overlay, 107 utility territories</w:t>
            </w:r>
          </w:p>
        </w:tc>
      </w:tr>
    </w:tbl>
    <w:p/>
    <w:p>
      <w:r>
        <w:rPr>
          <w:b/>
          <w:i w:val="0"/>
        </w:rPr>
        <w:t>Pilot: Wisconsin (APTIM incumbency, real numbers, existing contractor network). Expansion: mandate-heavy/funding-light states above.</w:t>
      </w:r>
    </w:p>
    <w:p>
      <w:r>
        <w:rPr>
          <w:b w:val="0"/>
          <w:i w:val="0"/>
        </w:rPr>
        <w:t>Compliance nuance worth knowing for Q&amp;A: under NYC LL97 both solar and batteries earn direct emissions deductions; under WA CBPS solar reduces the compliance metric (EUI) but batteries do not; under MD BEPS heat pumps are the compliance measure until ~2030. Framing: heat pumps are the compliance asset, solar is the savings asset, batteries are the revenue asset.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6. Maintenance: Who Takes Care of It and What It Costs</w:t>
      </w:r>
    </w:p>
    <w:p>
      <w:r>
        <w:rPr>
          <w:b/>
          <w:i w:val="0"/>
        </w:rPr>
        <w:t>The industry pattern from live VPP programs: WHO OWNS = WHO MAINTAINS. Since the utility owns the fleet, the utility (via APTIM's contractor network) maintains it. The household has zero maintenance responsibility.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Reality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Cost</w:t>
            </w:r>
          </w:p>
        </w:tc>
      </w:tr>
      <w:tr>
        <w:tc>
          <w:tcPr>
            <w:tcW w:type="dxa" w:w="2880"/>
          </w:tcPr>
          <w:p>
            <w:r>
              <w:t>Batteries</w:t>
            </w:r>
          </w:p>
        </w:tc>
        <w:tc>
          <w:tcPr>
            <w:tcW w:type="dxa" w:w="2880"/>
          </w:tcPr>
          <w:p>
            <w:r>
              <w:t>Essentially maintenance-free; Tesla Powerwall: 10-yr warranty, ≥70% capacity guaranteed; Enphase: 15-yr / 6,000 cycles</w:t>
            </w:r>
          </w:p>
        </w:tc>
        <w:tc>
          <w:tcPr>
            <w:tcW w:type="dxa" w:w="2880"/>
          </w:tcPr>
          <w:p>
            <w:r>
              <w:t>Covered by warranty in years 1–10/15</w:t>
            </w:r>
          </w:p>
        </w:tc>
      </w:tr>
      <w:tr>
        <w:tc>
          <w:tcPr>
            <w:tcW w:type="dxa" w:w="2880"/>
          </w:tcPr>
          <w:p>
            <w:r>
              <w:t>Solar panels</w:t>
            </w:r>
          </w:p>
        </w:tc>
        <w:tc>
          <w:tcPr>
            <w:tcW w:type="dxa" w:w="2880"/>
          </w:tcPr>
          <w:p>
            <w:r>
              <w:t>~25-year life, passive, ~0.5%/yr degradation</w:t>
            </w:r>
          </w:p>
        </w:tc>
        <w:tc>
          <w:tcPr>
            <w:tcW w:type="dxa" w:w="2880"/>
          </w:tcPr>
          <w:p>
            <w:r>
              <w:t>$150–$400/household/yr routine O&amp;M</w:t>
            </w:r>
          </w:p>
        </w:tc>
      </w:tr>
      <w:tr>
        <w:tc>
          <w:tcPr>
            <w:tcW w:type="dxa" w:w="2880"/>
          </w:tcPr>
          <w:p>
            <w:r>
              <w:t>Inverter</w:t>
            </w:r>
          </w:p>
        </w:tc>
        <w:tc>
          <w:tcPr>
            <w:tcW w:type="dxa" w:w="2880"/>
          </w:tcPr>
          <w:p>
            <w:r>
              <w:t>The one real O&amp;M event — replacement at year 10–15</w:t>
            </w:r>
          </w:p>
        </w:tc>
        <w:tc>
          <w:tcPr>
            <w:tcW w:type="dxa" w:w="2880"/>
          </w:tcPr>
          <w:p>
            <w:r>
              <w:t>$800–$2,500 per replacement</w:t>
            </w:r>
          </w:p>
        </w:tc>
      </w:tr>
      <w:tr>
        <w:tc>
          <w:tcPr>
            <w:tcW w:type="dxa" w:w="2880"/>
          </w:tcPr>
          <w:p>
            <w:r>
              <w:t>Design caveat</w:t>
            </w:r>
          </w:p>
        </w:tc>
        <w:tc>
          <w:tcPr>
            <w:tcW w:type="dxa" w:w="2880"/>
          </w:tcPr>
          <w:p>
            <w:r>
              <w:t>Daily VPP dispatch consumes battery cycles faster than backup-only use</w:t>
            </w:r>
          </w:p>
        </w:tc>
        <w:tc>
          <w:tcPr>
            <w:tcW w:type="dxa" w:w="2880"/>
          </w:tcPr>
          <w:p>
            <w:r>
              <w:t>Program must budget a cycle/replacement reserve</w:t>
            </w:r>
          </w:p>
        </w:tc>
      </w:tr>
    </w:tbl>
    <w:p/>
    <w:p>
      <w:r>
        <w:rPr>
          <w:b w:val="0"/>
          <w:i w:val="0"/>
        </w:rPr>
        <w:t>O&amp;M funding source: dispatch revenue. The avoided-capacity value the utility captures ($500–$1,500/kW) is more than sufficient to fund an O&amp;M reserve — the asset pays for its own upkeep. This is a rate-based infrastructure norm: utilities always fund maintenance of their own equipment.</w:t>
      </w:r>
    </w:p>
    <w:p>
      <w:r>
        <w:rPr>
          <w:b w:val="0"/>
          <w:i w:val="0"/>
        </w:rPr>
        <w:t>Precedents to cite: Green Mountain Power (VT) — regulator-approved utility-owned home batteries, utility handles all maintenance; Hawaiian Electric BYOD Plus — pays a dedicated $400/kW low-to-moderate-income adder, proving the income-qualified VPP design exists today.</w:t>
      </w:r>
    </w:p>
    <w:p>
      <w:pPr>
        <w:pStyle w:val="Heading1"/>
      </w:pPr>
      <w:r>
        <w:rPr>
          <w:rFonts w:ascii="Arial" w:hAnsi="Arial"/>
          <w:b/>
          <w:color w:val="1B2A5E"/>
          <w:sz w:val="32"/>
        </w:rPr>
        <w:t>7. Hard Questions Leadership Will Ask (and Our Answers)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Our Answer</w:t>
            </w:r>
          </w:p>
        </w:tc>
      </w:tr>
      <w:tr>
        <w:tc>
          <w:tcPr>
            <w:tcW w:type="dxa" w:w="4320"/>
          </w:tcPr>
          <w:p>
            <w:r>
              <w:t>Why would a utility spend capital under funding uncertainty?</w:t>
            </w:r>
          </w:p>
        </w:tc>
        <w:tc>
          <w:tcPr>
            <w:tcW w:type="dxa" w:w="4320"/>
          </w:tcPr>
          <w:p>
            <w:r>
              <w:t>Utilities WANT to deploy capital — rate-based assets are how they earn returns. Funding uncertainty affects grant programs, not rate-based infrastructure. Grid demand growth makes peak capacity investment unavoidable; this is the cheaper way to buy it.</w:t>
            </w:r>
          </w:p>
        </w:tc>
      </w:tr>
      <w:tr>
        <w:tc>
          <w:tcPr>
            <w:tcW w:type="dxa" w:w="4320"/>
          </w:tcPr>
          <w:p>
            <w:r>
              <w:t>Will regulators approve rate-basing home batteries?</w:t>
            </w:r>
          </w:p>
        </w:tc>
        <w:tc>
          <w:tcPr>
            <w:tcW w:type="dxa" w:w="4320"/>
          </w:tcPr>
          <w:p>
            <w:r>
              <w:t>Precedent exists (GMP in Vermont). Approval case: cheaper than the peaker alternative + equity benefits. This is also the operational risk we honestly flag — regulatory approval is the pacing item, which is why the pilot targets a state where APTIM has regulator relationships.</w:t>
            </w:r>
          </w:p>
        </w:tc>
      </w:tr>
      <w:tr>
        <w:tc>
          <w:tcPr>
            <w:tcW w:type="dxa" w:w="4320"/>
          </w:tcPr>
          <w:p>
            <w:r>
              <w:t>Isn't this just what CLEAResult does?</w:t>
            </w:r>
          </w:p>
        </w:tc>
        <w:tc>
          <w:tcPr>
            <w:tcW w:type="dxa" w:w="4320"/>
          </w:tcPr>
          <w:p>
            <w:r>
              <w:t>No competitor offers utility-owned distributed fleet administration as a packaged service. CLEAResult is rebate/DSM program delivery; Stantec is engineering design. APTIM uniquely combines program administration + infrastructure + government program expertise.</w:t>
            </w:r>
          </w:p>
        </w:tc>
      </w:tr>
      <w:tr>
        <w:tc>
          <w:tcPr>
            <w:tcW w:type="dxa" w:w="4320"/>
          </w:tcPr>
          <w:p>
            <w:r>
              <w:t>What if battery prices or tariffs spike?</w:t>
            </w:r>
          </w:p>
        </w:tc>
        <w:tc>
          <w:tcPr>
            <w:tcW w:type="dxa" w:w="4320"/>
          </w:tcPr>
          <w:p>
            <w:r>
              <w:t>Fleet procurement is the utility’s capital decision, sized in the rate case. APTIM’s revenue is the administration fee — level-of-effort based, insulated from hardware price swings.</w:t>
            </w:r>
          </w:p>
        </w:tc>
      </w:tr>
      <w:tr>
        <w:tc>
          <w:tcPr>
            <w:tcW w:type="dxa" w:w="4320"/>
          </w:tcPr>
          <w:p>
            <w:r>
              <w:t>Why APTIM, why now?</w:t>
            </w:r>
          </w:p>
        </w:tc>
        <w:tc>
          <w:tcPr>
            <w:tcW w:type="dxa" w:w="4320"/>
          </w:tcPr>
          <w:p>
            <w:r>
              <w:t>Our Town Hall surfaced the internal fear: over-reliance on politically dependent programs. This diversifies APTIM revenue into rate-based infrastructure services — the most federal-proof revenue in the sector.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B2A5E"/>
          <w:sz w:val="32"/>
        </w:rPr>
        <w:t>8. Decisions We Need to Make Thursday</w:t>
      </w:r>
    </w:p>
    <w:p>
      <w:pPr>
        <w:pStyle w:val="ListBullet"/>
      </w:pPr>
      <w:r>
        <w:t>1. Do we adopt the utility-owned battery fleet as our anchor program (with the toolkit as delivery framework)?</w:t>
      </w:r>
    </w:p>
    <w:p>
      <w:pPr>
        <w:pStyle w:val="ListBullet"/>
      </w:pPr>
      <w:r>
        <w:t>2. Do we lock Wisconsin as the pilot use case? (Alternative: Louisiana/Entergy — Michelle Krueger relationship)</w:t>
      </w:r>
    </w:p>
    <w:p>
      <w:pPr>
        <w:pStyle w:val="ListBullet"/>
      </w:pPr>
      <w:r>
        <w:t>3. Who owns which slide: problem definition (Maija), market analysis (Jenny), competitive landscape (Christian), service concept/business case, pilot use case?</w:t>
      </w:r>
    </w:p>
    <w:p>
      <w:pPr>
        <w:pStyle w:val="ListBullet"/>
      </w:pPr>
      <w:r>
        <w:t>4. What numbers do we still need for the business case? (Battery fleet capex per household, Wisconsin peak capacity costs, sample fleet size for the pilot)</w:t>
      </w:r>
    </w:p>
    <w:p>
      <w:pPr>
        <w:pStyle w:val="ListBullet"/>
      </w:pPr>
      <w:r>
        <w:t>5. Do we bring this to Erin Soman / Alex Scott for a sanity check before the Friday review with Samantha?</w:t>
      </w:r>
    </w:p>
    <w:p/>
    <w:p>
      <w:r>
        <w:rPr>
          <w:i/>
          <w:sz w:val="18"/>
        </w:rPr>
        <w:t>Sources on file: WA Commerce CBPS compliance pages; Colorado Energy Office VXC / SB21-260; NYC DOB LL97 rules; Urban Green Council; MDE BEPS fact sheet; Inside Climate News (NJ Clean Energy Fund); Tesla/Enphase warranty documents; Green Mountain Power ESS program; Hawaiian Electric BYOD Plus; Rocky Mountain Power Wattsmart; ACEEE 2025 Scorecard; PSC Wisconsin. Full research documents available from Christian.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