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5E"/>
          <w:sz w:val="40"/>
        </w:rPr>
        <w:t>STRIVE Capstone — Group 1</w:t>
        <w:br/>
        <w:t>Competitive Landscape &amp; Target Markets:</w:t>
        <w:br/>
        <w:t>Utility-Owned Battery + Solar Fleet Administration</w:t>
      </w:r>
    </w:p>
    <w:p>
      <w:pPr>
        <w:jc w:val="center"/>
      </w:pPr>
      <w:r>
        <w:rPr>
          <w:i/>
          <w:sz w:val="20"/>
        </w:rPr>
        <w:t>Research current as of July 2026 | Prepared by Christian (Utilities/Competitive Landscape)</w:t>
        <w:br/>
        <w:t>Internal working document — Group 1 discussion only</w:t>
      </w:r>
    </w:p>
    <w:p/>
    <w:p>
      <w:pPr>
        <w:pStyle w:val="Heading1"/>
      </w:pPr>
      <w:r>
        <w:rPr>
          <w:rFonts w:ascii="Arial" w:hAnsi="Arial"/>
          <w:b/>
          <w:color w:val="1B2A5E"/>
          <w:sz w:val="32"/>
        </w:rPr>
        <w:t>1. What We Are Pitching (One Paragraph)</w:t>
      </w:r>
    </w:p>
    <w:p>
      <w:r>
        <w:rPr>
          <w:b/>
          <w:i w:val="0"/>
        </w:rPr>
        <w:t>The utility finances and owns residential battery + solar systems (in practice: Tesla Powerwalls or equivalent, paired with rooftop solar) deployed as rate-based grid infrastructure. Households host the equipment at zero cost and receive free backup power and lower bills. The utility dispatches the fleet at peak, capturing avoided peak-capacity value of roughly $500–$1,500 per kW. APTIM sells no hardware — APTIM is the program administrator: site selection, household recruitment, hosting agreements, contractor network management, installation QA, and regulatory compliance reporting.</w:t>
      </w:r>
    </w:p>
    <w:p>
      <w:r>
        <w:rPr>
          <w:b w:val="0"/>
          <w:i/>
        </w:rPr>
        <w:t>Division of labor: Tesla makes the batteries. The utility owns them. Software partners (Tesla/EnergyHub) dispatch them. APTIM makes the program work on the ground. Nobody currently sells that last role — every fleet that exists today (Green Mountain Power, Liberty NH) had to improvise it in-house.</w:t>
      </w:r>
    </w:p>
    <w:p>
      <w:pPr>
        <w:pStyle w:val="Heading1"/>
      </w:pPr>
      <w:r>
        <w:rPr>
          <w:rFonts w:ascii="Arial" w:hAnsi="Arial"/>
          <w:b/>
          <w:color w:val="1B2A5E"/>
          <w:sz w:val="32"/>
        </w:rPr>
        <w:t>2. Why Nobody Fills This Seat Today (Compressed)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Player 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 They Stop</w:t>
            </w:r>
          </w:p>
        </w:tc>
      </w:tr>
      <w:tr>
        <w:tc>
          <w:tcPr>
            <w:tcW w:type="dxa" w:w="2880"/>
          </w:tcPr>
          <w:p>
            <w:r>
              <w:t>DSM program administrators</w:t>
            </w:r>
          </w:p>
        </w:tc>
        <w:tc>
          <w:tcPr>
            <w:tcW w:type="dxa" w:w="2880"/>
          </w:tcPr>
          <w:p>
            <w:r>
              <w:t>CLEAResult, ICF, Franklin Energy</w:t>
            </w:r>
          </w:p>
        </w:tc>
        <w:tc>
          <w:tcPr>
            <w:tcW w:type="dxa" w:w="2880"/>
          </w:tcPr>
          <w:p>
            <w:r>
              <w:t>Customer-owned (BYOD) device programs only — none administer utility-owned assets</w:t>
            </w:r>
          </w:p>
        </w:tc>
      </w:tr>
      <w:tr>
        <w:tc>
          <w:tcPr>
            <w:tcW w:type="dxa" w:w="2880"/>
          </w:tcPr>
          <w:p>
            <w:r>
              <w:t>Engineering / EPC firms</w:t>
            </w:r>
          </w:p>
        </w:tc>
        <w:tc>
          <w:tcPr>
            <w:tcW w:type="dxa" w:w="2880"/>
          </w:tcPr>
          <w:p>
            <w:r>
              <w:t>Stantec, Willdan, Black &amp; Veatch</w:t>
            </w:r>
          </w:p>
        </w:tc>
        <w:tc>
          <w:tcPr>
            <w:tcW w:type="dxa" w:w="2880"/>
          </w:tcPr>
          <w:p>
            <w:r>
              <w:t>Grid-scale construction; no residential fleet operations</w:t>
            </w:r>
          </w:p>
        </w:tc>
      </w:tr>
      <w:tr>
        <w:tc>
          <w:tcPr>
            <w:tcW w:type="dxa" w:w="2880"/>
          </w:tcPr>
          <w:p>
            <w:r>
              <w:t>VPP software &amp; aggregators</w:t>
            </w:r>
          </w:p>
        </w:tc>
        <w:tc>
          <w:tcPr>
            <w:tcW w:type="dxa" w:w="2880"/>
          </w:tcPr>
          <w:p>
            <w:r>
              <w:t>Tesla, EnergyHub, Uplight, Sunrun</w:t>
            </w:r>
          </w:p>
        </w:tc>
        <w:tc>
          <w:tcPr>
            <w:tcW w:type="dxa" w:w="2880"/>
          </w:tcPr>
          <w:p>
            <w:r>
              <w:t>Software, dispatch, self-serve enrollment; no field operations. Sunrun owns its own fleets (competing procurement model, concentrated in CA)</w:t>
            </w:r>
          </w:p>
        </w:tc>
      </w:tr>
      <w:tr>
        <w:tc>
          <w:tcPr>
            <w:tcW w:type="dxa" w:w="2880"/>
          </w:tcPr>
          <w:p>
            <w:r>
              <w:t>The one that tried</w:t>
            </w:r>
          </w:p>
        </w:tc>
        <w:tc>
          <w:tcPr>
            <w:tcW w:type="dxa" w:w="2880"/>
          </w:tcPr>
          <w:p>
            <w:r>
              <w:t>Swell Energy</w:t>
            </w:r>
          </w:p>
        </w:tc>
        <w:tc>
          <w:tcPr>
            <w:tcW w:type="dxa" w:w="2880"/>
          </w:tcPr>
          <w:p>
            <w:r>
              <w:t>Insolvent Sept 2024 — carried hardware financing risk on its own balance sheet. APTIM's fee-for-service model does not.</w:t>
            </w:r>
          </w:p>
        </w:tc>
      </w:tr>
    </w:tbl>
    <w:p/>
    <w:p>
      <w:r>
        <w:rPr>
          <w:b/>
          <w:i w:val="0"/>
        </w:rPr>
        <w:t>Geography of the competition: Sunrun, Tesla, Willdan, and Base Power (the one quasi-turnkey player, ERCOT-only) all concentrate in California and Texas. The Midwest and Gulf Coast are uncontested — exactly where APTIM's incumbency is strongest.</w:t>
      </w:r>
    </w:p>
    <w:p>
      <w:pPr>
        <w:pStyle w:val="Heading1"/>
      </w:pPr>
      <w:r>
        <w:rPr>
          <w:rFonts w:ascii="Arial" w:hAnsi="Arial"/>
          <w:b/>
          <w:color w:val="1B2A5E"/>
          <w:sz w:val="32"/>
        </w:rPr>
        <w:t>3. The Three Target Markets</w:t>
      </w:r>
    </w:p>
    <w:p>
      <w:r>
        <w:rPr>
          <w:b w:val="0"/>
          <w:i/>
        </w:rPr>
        <w:t>Narrowed from the full state scan to the three strongest cases — each has an open gap, a concrete demand driver, and an existing APTIM foothold or funding hook.</w:t>
      </w:r>
    </w:p>
    <w:p>
      <w:pPr>
        <w:pStyle w:val="Heading2"/>
      </w:pPr>
      <w:r>
        <w:rPr>
          <w:rFonts w:ascii="Arial" w:hAnsi="Arial"/>
          <w:b/>
          <w:color w:val="E87B22"/>
          <w:sz w:val="26"/>
        </w:rPr>
        <w:t>Target 1 — Wisconsin (The Pilot)</w:t>
      </w:r>
    </w:p>
    <w:p>
      <w:pPr>
        <w:pStyle w:val="ListBullet"/>
      </w:pPr>
      <w:r>
        <w:t>APTIM fortress: Program Administrator of Focus on Energy since 2010 — 107 utility territories, 50,000+ projects/year, installed contractor network, 15 years of PSC relationships</w:t>
      </w:r>
    </w:p>
    <w:p>
      <w:pPr>
        <w:pStyle w:val="ListBullet"/>
      </w:pPr>
      <w:r>
        <w:t>Zero competition: no utility-owned residential battery fleet exists anywhere in the Midwest; CLEAResult/Franklin operate nearby but only run BYOD/rebate programs</w:t>
      </w:r>
    </w:p>
    <w:p>
      <w:pPr>
        <w:pStyle w:val="ListBullet"/>
      </w:pPr>
      <w:r>
        <w:t>Demand driver: winter peak events + aging grid + outage resilience. Batteries earn value in winter peaks and outages — this is NOT a sunny-state-only play; solar pairs where viable, batteries carry the case</w:t>
      </w:r>
    </w:p>
    <w:p>
      <w:pPr>
        <w:pStyle w:val="ListBullet"/>
      </w:pPr>
      <w:r>
        <w:t>Funding hook: Focus on Energy demand already exceeds the ~$95M budget; a rate-based fleet gives Wisconsin utilities a new compliance and resilience tool that does not draw on the strained program budget or federal grants</w:t>
      </w:r>
    </w:p>
    <w:p>
      <w:pPr>
        <w:pStyle w:val="ListBullet"/>
      </w:pPr>
      <w:r>
        <w:t>Why pilot here: APTIM can move fastest where it already holds the administrator seat, knows the regulator, and has the contractors</w:t>
      </w:r>
    </w:p>
    <w:p>
      <w:pPr>
        <w:pStyle w:val="Heading2"/>
      </w:pPr>
      <w:r>
        <w:rPr>
          <w:rFonts w:ascii="Arial" w:hAnsi="Arial"/>
          <w:b/>
          <w:color w:val="E87B22"/>
          <w:sz w:val="26"/>
        </w:rPr>
        <w:t>Target 2 — Louisiana / Gulf Coast (The Expansion Beachhead)</w:t>
      </w:r>
    </w:p>
    <w:p>
      <w:pPr>
        <w:pStyle w:val="ListBullet"/>
      </w:pPr>
      <w:r>
        <w:t>APTIM is already in the room: TPA for Entergy New Orleans Energy Smart since 2017 and Entergy Louisiana since 2018</w:t>
      </w:r>
    </w:p>
    <w:p>
      <w:pPr>
        <w:pStyle w:val="ListBullet"/>
      </w:pPr>
      <w:r>
        <w:t>The program is already materializing: Entergy New Orleans ~$28M residential battery/DER program approved Dec 2025, implementation plan filed March 2026 — under the Energy Smart umbrella APTIM administers</w:t>
      </w:r>
    </w:p>
    <w:p>
      <w:pPr>
        <w:pStyle w:val="ListBullet"/>
      </w:pPr>
      <w:r>
        <w:t>Demand driver: hurricanes. Outage resilience is a life-safety issue on the Gulf Coast — the strongest customer-acceptance story in the country for hosted batteries</w:t>
      </w:r>
    </w:p>
    <w:p>
      <w:pPr>
        <w:pStyle w:val="ListBullet"/>
      </w:pPr>
      <w:r>
        <w:t>Zero competition: no fleet administrator operates in the Gulf; Base Power is boxed into ERCOT/Texas</w:t>
      </w:r>
    </w:p>
    <w:p>
      <w:pPr>
        <w:pStyle w:val="ListBullet"/>
      </w:pPr>
      <w:r>
        <w:t>Political durability: resilience spending survives funding swings — Louisiana ended its 2026 efficiency program, but storm-hardening investment continues</w:t>
      </w:r>
    </w:p>
    <w:p>
      <w:pPr>
        <w:pStyle w:val="Heading2"/>
      </w:pPr>
      <w:r>
        <w:rPr>
          <w:rFonts w:ascii="Arial" w:hAnsi="Arial"/>
          <w:b/>
          <w:color w:val="E87B22"/>
          <w:sz w:val="26"/>
        </w:rPr>
        <w:t>Target 3 — Washington State (The Mandate Play)</w:t>
      </w:r>
    </w:p>
    <w:p>
      <w:pPr>
        <w:pStyle w:val="ListBullet"/>
      </w:pPr>
      <w:r>
        <w:t>Demand driver: Clean Buildings Performance Standard penalties begin June 2026 ($1.00/sq ft/yr), and CETA requires 100% clean electricity by 2045 — utilities and building owners MUST act</w:t>
      </w:r>
    </w:p>
    <w:p>
      <w:pPr>
        <w:pStyle w:val="ListBullet"/>
      </w:pPr>
      <w:r>
        <w:t>Funding hook: $150M+ in state early-adopter incentives sit largely UNTAPPED — a program-administration opportunity in itself (someone must help owners find and use it)</w:t>
      </w:r>
    </w:p>
    <w:p>
      <w:pPr>
        <w:pStyle w:val="ListBullet"/>
      </w:pPr>
      <w:r>
        <w:t>Competition is thin: Willdan just won Puget Sound Energy program implementation (honest caveat — the one contested territory), but nobody offers fleet administration; Sunrun/Tesla presence is minimal compared to CA</w:t>
      </w:r>
    </w:p>
    <w:p>
      <w:pPr>
        <w:pStyle w:val="ListBullet"/>
      </w:pPr>
      <w:r>
        <w:t>Why third: no APTIM incumbency here — this is the growth-story market that proves the model travels beyond existing relationships. Solar pairs better here than reputation suggests (mild climate, high summer output)</w:t>
      </w:r>
    </w:p>
    <w:p>
      <w:pPr>
        <w:pStyle w:val="Heading1"/>
      </w:pPr>
      <w:r>
        <w:rPr>
          <w:rFonts w:ascii="Arial" w:hAnsi="Arial"/>
          <w:b/>
          <w:color w:val="1B2A5E"/>
          <w:sz w:val="32"/>
        </w:rPr>
        <w:t>4. Prioritization (Cost / Ease / Timeframe / Impact — Samantha's Framework)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Market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Ease of Entry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Timeframe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Role in Story</w:t>
            </w:r>
          </w:p>
        </w:tc>
      </w:tr>
      <w:tr>
        <w:tc>
          <w:tcPr>
            <w:tcW w:type="dxa" w:w="1728"/>
          </w:tcPr>
          <w:p>
            <w:r>
              <w:t>Wisconsin</w:t>
            </w:r>
          </w:p>
        </w:tc>
        <w:tc>
          <w:tcPr>
            <w:tcW w:type="dxa" w:w="1728"/>
          </w:tcPr>
          <w:p>
            <w:r>
              <w:t>Highest — incumbent administrator, existing contractors and regulator relationships</w:t>
            </w:r>
          </w:p>
        </w:tc>
        <w:tc>
          <w:tcPr>
            <w:tcW w:type="dxa" w:w="1728"/>
          </w:tcPr>
          <w:p>
            <w:r>
              <w:t>Year 1 pilot</w:t>
            </w:r>
          </w:p>
        </w:tc>
        <w:tc>
          <w:tcPr>
            <w:tcW w:type="dxa" w:w="1728"/>
          </w:tcPr>
          <w:p>
            <w:r>
              <w:t>Proves the model + numbers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</w:tr>
      <w:tr>
        <w:tc>
          <w:tcPr>
            <w:tcW w:type="dxa" w:w="1728"/>
          </w:tcPr>
          <w:p>
            <w:r>
              <w:t>Louisiana / Gulf</w:t>
            </w:r>
          </w:p>
        </w:tc>
        <w:tc>
          <w:tcPr>
            <w:tcW w:type="dxa" w:w="1728"/>
          </w:tcPr>
          <w:p>
            <w:r>
              <w:t>High — existing Entergy TPA seats; battery program already funded</w:t>
            </w:r>
          </w:p>
        </w:tc>
        <w:tc>
          <w:tcPr>
            <w:tcW w:type="dxa" w:w="1728"/>
          </w:tcPr>
          <w:p>
            <w:r>
              <w:t>Years 1–2</w:t>
            </w:r>
          </w:p>
        </w:tc>
        <w:tc>
          <w:tcPr>
            <w:tcW w:type="dxa" w:w="1728"/>
          </w:tcPr>
          <w:p>
            <w:r>
              <w:t>Resilience showcase; deepest customer need</w:t>
            </w:r>
          </w:p>
        </w:tc>
        <w:tc>
          <w:tcPr>
            <w:tcW w:type="dxa" w:w="1728"/>
          </w:tcPr>
          <w:p>
            <w:r>
              <w:t>FIRST EXPANSION</w:t>
            </w:r>
          </w:p>
        </w:tc>
      </w:tr>
      <w:tr>
        <w:tc>
          <w:tcPr>
            <w:tcW w:type="dxa" w:w="1728"/>
          </w:tcPr>
          <w:p>
            <w:r>
              <w:t>Washington</w:t>
            </w:r>
          </w:p>
        </w:tc>
        <w:tc>
          <w:tcPr>
            <w:tcW w:type="dxa" w:w="1728"/>
          </w:tcPr>
          <w:p>
            <w:r>
              <w:t>Medium — no incumbency, one active competitor (Willdan/PSE)</w:t>
            </w:r>
          </w:p>
        </w:tc>
        <w:tc>
          <w:tcPr>
            <w:tcW w:type="dxa" w:w="1728"/>
          </w:tcPr>
          <w:p>
            <w:r>
              <w:t>Years 2–3</w:t>
            </w:r>
          </w:p>
        </w:tc>
        <w:tc>
          <w:tcPr>
            <w:tcW w:type="dxa" w:w="1728"/>
          </w:tcPr>
          <w:p>
            <w:r>
              <w:t>Proves the model scales into mandate-driven markets</w:t>
            </w:r>
          </w:p>
        </w:tc>
        <w:tc>
          <w:tcPr>
            <w:tcW w:type="dxa" w:w="1728"/>
          </w:tcPr>
          <w:p>
            <w:r>
              <w:t>GROWTH PROOF</w:t>
            </w:r>
          </w:p>
        </w:tc>
      </w:tr>
    </w:tbl>
    <w:p/>
    <w:p>
      <w:r>
        <w:rPr>
          <w:b w:val="0"/>
          <w:i w:val="0"/>
        </w:rPr>
        <w:t>Markets deliberately excluded: California and Texas (saturated — Sunrun, Tesla, Base Power, Willdan all concentrated there); New England (Green Mountain Power self-administers; market claimed); New York City (Local Law 97 is a commercial-buildings play, off-scope for a residential fleet pitch — keep as a future commercial variant).</w:t>
      </w:r>
    </w:p>
    <w:p>
      <w:pPr>
        <w:pStyle w:val="Heading1"/>
      </w:pPr>
      <w:r>
        <w:rPr>
          <w:rFonts w:ascii="Arial" w:hAnsi="Arial"/>
          <w:b/>
          <w:color w:val="1B2A5E"/>
          <w:sz w:val="32"/>
        </w:rPr>
        <w:t>5. Draft Slide Content (APTIM Template, Arial, 18pt body)</w:t>
      </w:r>
    </w:p>
    <w:p>
      <w:pPr>
        <w:pStyle w:val="Heading2"/>
      </w:pPr>
      <w:r>
        <w:rPr>
          <w:rFonts w:ascii="Arial" w:hAnsi="Arial"/>
          <w:b/>
          <w:color w:val="E87B22"/>
          <w:sz w:val="26"/>
        </w:rPr>
        <w:t>Slide 1 — Competitive Landscape: The Seat Is Empty</w:t>
      </w:r>
    </w:p>
    <w:p>
      <w:pPr>
        <w:pStyle w:val="ListBullet"/>
      </w:pPr>
      <w:r>
        <w:t>Program administrators (CLEAResult, ICF, Franklin Energy): customer-owned device programs only</w:t>
      </w:r>
    </w:p>
    <w:p>
      <w:pPr>
        <w:pStyle w:val="ListBullet"/>
      </w:pPr>
      <w:r>
        <w:t>VPP software (Tesla, EnergyHub): dispatch and enrollment — no field operations</w:t>
      </w:r>
    </w:p>
    <w:p>
      <w:pPr>
        <w:pStyle w:val="ListBullet"/>
      </w:pPr>
      <w:r>
        <w:t>Aggregators that own fleets (Sunrun, Base Power): concentrated in California and Texas</w:t>
      </w:r>
    </w:p>
    <w:p>
      <w:pPr>
        <w:pStyle w:val="ListBullet"/>
      </w:pPr>
      <w:r>
        <w:t>No company administers utility-owned residential battery fleets — the largest one in the US (Green Mountain Power, ~9,000 batteries) had to build the role in-house</w:t>
      </w:r>
    </w:p>
    <w:p>
      <w:pPr>
        <w:pStyle w:val="Heading2"/>
      </w:pPr>
      <w:r>
        <w:rPr>
          <w:rFonts w:ascii="Arial" w:hAnsi="Arial"/>
          <w:b/>
          <w:color w:val="E87B22"/>
          <w:sz w:val="26"/>
        </w:rPr>
        <w:t>Slide 2 — Where APTIM Wins: Three Markets</w:t>
      </w:r>
    </w:p>
    <w:p>
      <w:pPr>
        <w:pStyle w:val="ListBullet"/>
      </w:pPr>
      <w:r>
        <w:t>Wisconsin (pilot): 15-year incumbency, 107 utility territories, zero fleet competition in the Midwest</w:t>
      </w:r>
    </w:p>
    <w:p>
      <w:pPr>
        <w:pStyle w:val="ListBullet"/>
      </w:pPr>
      <w:r>
        <w:t>Louisiana (expansion): APTIM's Entergy seats + a funded $28M battery program already under APTIM's umbrella + hurricane resilience demand</w:t>
      </w:r>
    </w:p>
    <w:p>
      <w:pPr>
        <w:pStyle w:val="ListBullet"/>
      </w:pPr>
      <w:r>
        <w:t>Washington (growth): mandate penalties from June 2026 + $150M in untapped state incentives + thin competition</w:t>
      </w:r>
    </w:p>
    <w:p>
      <w:pPr>
        <w:pStyle w:val="ListBullet"/>
      </w:pPr>
      <w:r>
        <w:t>Excluded on purpose: California and Texas — saturated; New England — claimed by GMP</w:t>
      </w:r>
    </w:p>
    <w:p/>
    <w:p>
      <w:r>
        <w:rPr>
          <w:i/>
          <w:sz w:val="18"/>
        </w:rPr>
        <w:t>Sources on file: GMP tariffs and Zero Outages filing (VT PUC 23-3501-PET); Liberty Utilities NH Docket DE 17-189; Entergy New Orleans Energy Smart battery filings; The Lens NOLA; WA Commerce CBPS pages; Hawaiian Electric statement on Swell insolvency; Sunrun/Tesla/Base Power program pages; CLEAResult, ICF, Franklin Energy, Willdan program materials; ACEEE 2025 Scorecard; PSC Wisconsin. Full research threads available from Christian.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