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5E"/>
          <w:sz w:val="40"/>
        </w:rPr>
        <w:t>STRIVE Capstone — Group 1</w:t>
        <w:br/>
        <w:t>Utility-Owned Battery + Solar Fleet Administered by APTIM</w:t>
        <w:br/>
        <w:t>Michigan Market-Entry Proposal</w:t>
      </w:r>
    </w:p>
    <w:p>
      <w:pPr>
        <w:jc w:val="center"/>
      </w:pPr>
      <w:r>
        <w:rPr>
          <w:i/>
          <w:sz w:val="20"/>
        </w:rPr>
        <w:t>Team Briefing v4 — Fact-Checked, Sources Cited, Open Decisions Flagged | Prepared by Christian</w:t>
        <w:br/>
        <w:t>Internal working document — Group 1 discussion only</w:t>
      </w:r>
    </w:p>
    <w:p/>
    <w:p>
      <w:pPr>
        <w:pStyle w:val="Heading1"/>
      </w:pPr>
      <w:r>
        <w:rPr>
          <w:rFonts w:ascii="Arial" w:hAnsi="Arial"/>
          <w:b/>
          <w:color w:val="1B2A5E"/>
          <w:sz w:val="32"/>
        </w:rPr>
        <w:t>Changelog: What Changed in v4 and Why</w:t>
      </w:r>
    </w:p>
    <w:p>
      <w:r>
        <w:rPr>
          <w:b/>
          <w:i w:val="0"/>
        </w:rPr>
        <w:t>A teammate reviewed v3 and correctly flagged several problems: an unverified number, unclear money flow, and open business-model questions presented as settled. This version fixes all of it. Changes:</w:t>
      </w:r>
    </w:p>
    <w:p>
      <w:pPr>
        <w:pStyle w:val="ListBullet"/>
      </w:pPr>
      <w:r>
        <w:t>REMOVED the "$500-1,500/kW avoided capacity cost" figure. It could not be traced to any primary source. Replaced with MISO's actual published capacity auction clearing prices, with our own math shown transparently as an estimate, not an official figure.</w:t>
      </w:r>
    </w:p>
    <w:p>
      <w:pPr>
        <w:pStyle w:val="ListBullet"/>
      </w:pPr>
      <w:r>
        <w:t>CORRECTED our claim about APTIM's Michigan presence. No evidence exists of an APTIM contract with DTE or Consumers Energy. This is now stated plainly as a MARKET-ENTRY pitch, not an incumbent-relationship pitch (unlike our Wisconsin and Louisiana relationships).</w:t>
      </w:r>
    </w:p>
    <w:p>
      <w:pPr>
        <w:pStyle w:val="ListBullet"/>
      </w:pPr>
      <w:r>
        <w:t>ADDED a plain-language explanation of ratepayer/rate-base financing — who actually pays, and how the hosting household differs from every other ratepayer.</w:t>
      </w:r>
    </w:p>
    <w:p>
      <w:pPr>
        <w:pStyle w:val="ListBullet"/>
      </w:pPr>
      <w:r>
        <w:t>ADDED an explicit distinction between our utility-ownership model and a Power Purchase Agreement (PPA) structure, since these can be confused.</w:t>
      </w:r>
    </w:p>
    <w:p>
      <w:pPr>
        <w:pStyle w:val="ListBullet"/>
      </w:pPr>
      <w:r>
        <w:t>ADDED real, sourced Michigan solar/storage law detail (net metering replacement, PA 235 specifics with a case number and deadline).</w:t>
      </w:r>
    </w:p>
    <w:p>
      <w:pPr>
        <w:pStyle w:val="ListBullet"/>
      </w:pPr>
      <w:r>
        <w:t>ADDED named installer precedent from Green Mountain Power, and an honest statement that DTE/Consumers' existing contractor networks are thermostat-focused, not battery-focused.</w:t>
      </w:r>
    </w:p>
    <w:p>
      <w:pPr>
        <w:pStyle w:val="ListBullet"/>
      </w:pPr>
      <w:r>
        <w:t>FLAGGED remaining open business-model questions (RFP process, funding flow, installer selection) as decisions the TEAM needs to make, not settled facts.</w:t>
      </w:r>
    </w:p>
    <w:p>
      <w:r>
        <w:rPr>
          <w:b w:val="0"/>
          <w:i/>
        </w:rPr>
        <w:t>Scope note: given what we found, we are proposing this as a market-entry play into Michigan rather than an extension of an existing APTIM relationship. This is a legitimate strategic option — administrators win new utility contracts via RFP regularly — but it changes the pitch from "APTIM already does this" to "APTIM is positioned to win this." Flagging this so the team can decide if that shift works for our story, or if we want to weight Wisconsin/Louisiana (existing relationships) more heavily alongside Michigan (strongest economics).</w:t>
      </w:r>
    </w:p>
    <w:p>
      <w:pPr>
        <w:pStyle w:val="Heading1"/>
      </w:pPr>
      <w:r>
        <w:rPr>
          <w:rFonts w:ascii="Arial" w:hAnsi="Arial"/>
          <w:b/>
          <w:color w:val="1B2A5E"/>
          <w:sz w:val="32"/>
        </w:rPr>
        <w:t>1. The Program, In Plain Terms</w:t>
      </w:r>
    </w:p>
    <w:p>
      <w:r>
        <w:rPr>
          <w:b w:val="0"/>
          <w:i w:val="0"/>
        </w:rPr>
        <w:t>The utility finances and owns residential battery + solar systems, deployed as rate-based grid infrastructure — the same financial mechanism it uses for poles, wires, and substations. APTIM administers the program; APTIM does not own the hardware and does not fund it.</w:t>
      </w:r>
    </w:p>
    <w:p>
      <w:pPr>
        <w:pStyle w:val="Heading2"/>
      </w:pPr>
      <w:r>
        <w:rPr>
          <w:rFonts w:ascii="Arial" w:hAnsi="Arial"/>
          <w:b/>
          <w:color w:val="E87B22"/>
          <w:sz w:val="26"/>
        </w:rPr>
        <w:t>Who Actually Pays — The Part That Needed Clarifying</w:t>
      </w:r>
    </w:p>
    <w:p>
      <w:r>
        <w:rPr>
          <w:b/>
          <w:i w:val="0"/>
        </w:rPr>
        <w:t>The hosting household does NOT get a special bill and does NOT pay anything extra. Here is the actual money flow:</w:t>
      </w:r>
    </w:p>
    <w:p>
      <w:pPr>
        <w:pStyle w:val="ListBullet"/>
      </w:pPr>
      <w:r>
        <w:t>The utility spends capital to buy the battery fleet.</w:t>
      </w:r>
    </w:p>
    <w:p>
      <w:pPr>
        <w:pStyle w:val="ListBullet"/>
      </w:pPr>
      <w:r>
        <w:t>That capital is added to the utility's "rate base" (the pool of assets it's allowed to earn a return on), once approved by the state regulator (in Michigan, the Michigan Public Service Commission).</w:t>
      </w:r>
    </w:p>
    <w:p>
      <w:pPr>
        <w:pStyle w:val="ListBullet"/>
      </w:pPr>
      <w:r>
        <w:t>The utility recovers rate-base costs from ALL customers, spread across everyone's bill as a small, general increase — this is called ratepayer financing.</w:t>
      </w:r>
    </w:p>
    <w:p>
      <w:pPr>
        <w:pStyle w:val="ListBullet"/>
      </w:pPr>
      <w:r>
        <w:t>The battery fleet reduces the utility's total cost of running the grid (avoids building a peaker plant, avoids buying expensive peak-hour power) — so the net effect on ALL customers' bills is lower than if the utility had built the costlier alternative instead.</w:t>
      </w:r>
    </w:p>
    <w:p>
      <w:pPr>
        <w:pStyle w:val="ListBullet"/>
      </w:pPr>
      <w:r>
        <w:t>The hosting household's "payment" for allowing the equipment in their home is the free backup power and bill savings they receive — a benefit other ratepayers don't get, in exchange for hosting.</w:t>
      </w:r>
    </w:p>
    <w:p>
      <w:r>
        <w:rPr>
          <w:b w:val="0"/>
          <w:i/>
        </w:rPr>
        <w:t>Source: this is standard utility rate-of-return regulation. See NRDC's "Utility Accountability 101" (nrdc.org) and EIA's "How electricity prices are regulated" for a full explainer — recommend the team read NRDC's piece directly before presenting this slide, since it is Alex's suggested resource on exactly this mechanism.</w:t>
      </w:r>
    </w:p>
    <w:p>
      <w:pPr>
        <w:pStyle w:val="Heading2"/>
      </w:pPr>
      <w:r>
        <w:rPr>
          <w:rFonts w:ascii="Arial" w:hAnsi="Arial"/>
          <w:b/>
          <w:color w:val="E87B22"/>
          <w:sz w:val="26"/>
        </w:rPr>
        <w:t>This Is NOT a Power Purchase Agreement (PPA) — A Distinction Worth Stating Explicitly</w:t>
      </w:r>
    </w:p>
    <w:p>
      <w:r>
        <w:rPr>
          <w:b w:val="0"/>
          <w:i w:val="0"/>
        </w:rPr>
        <w:t>A PPA is a contract where a utility buys power/capacity from a THIRD PARTY that owns the generating or storage asset — the utility never owns the equipment. Our model is the opposite: the utility owns the battery fleet directly and earns a regulated return on it. These are mutually exclusive structures for the same asset. (For reference: DTE and Consumers already use PPA-like contracts for their utility-SCALE battery projects — e.g., MPSC approved six such battery contracts totaling 1,332 MW in March 2026 — but that is a different model than what we're proposing for the RESIDENTIAL fleet, which is utility-owned.)</w:t>
      </w:r>
    </w:p>
    <w:p>
      <w:pPr>
        <w:pStyle w:val="Heading1"/>
      </w:pPr>
      <w:r>
        <w:rPr>
          <w:rFonts w:ascii="Arial" w:hAnsi="Arial"/>
          <w:b/>
          <w:color w:val="1B2A5E"/>
          <w:sz w:val="32"/>
        </w:rPr>
        <w:t>2. Verified Economics — Every Number Sourced</w:t>
      </w:r>
    </w:p>
    <w:p>
      <w:r>
        <w:rPr>
          <w:b/>
          <w:i w:val="0"/>
        </w:rPr>
        <w:t>The prior draft cited a "$500-1,500/kW" avoided capacity cost figure. That number could not be traced to any primary source and has been removed. Here is what we can actually cite: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Data Point</w:t>
            </w:r>
          </w:p>
        </w:tc>
        <w:tc>
          <w:tcPr>
            <w:tcW w:type="dxa" w:w="2880"/>
          </w:tcPr>
          <w:p>
            <w:r/>
            <w:r>
              <w:rPr>
                <w:b/>
              </w:rPr>
              <w:t>Value</w:t>
            </w:r>
          </w:p>
        </w:tc>
        <w:tc>
          <w:tcPr>
            <w:tcW w:type="dxa" w:w="2880"/>
          </w:tcPr>
          <w:p>
            <w:r/>
            <w:r>
              <w:rPr>
                <w:b/>
              </w:rPr>
              <w:t>Source</w:t>
            </w:r>
          </w:p>
        </w:tc>
      </w:tr>
      <w:tr>
        <w:tc>
          <w:tcPr>
            <w:tcW w:type="dxa" w:w="2880"/>
          </w:tcPr>
          <w:p>
            <w:r>
              <w:t>MISO capacity price, PY 2025/26 (Michigan zone)</w:t>
            </w:r>
          </w:p>
        </w:tc>
        <w:tc>
          <w:tcPr>
            <w:tcW w:type="dxa" w:w="2880"/>
          </w:tcPr>
          <w:p>
            <w:r>
              <w:t>$666.50/MW-day (summer, all zones)</w:t>
            </w:r>
          </w:p>
        </w:tc>
        <w:tc>
          <w:tcPr>
            <w:tcW w:type="dxa" w:w="2880"/>
          </w:tcPr>
          <w:p>
            <w:r>
              <w:t>MISO PRA Results Posting, May 29, 2025</w:t>
            </w:r>
          </w:p>
        </w:tc>
      </w:tr>
      <w:tr>
        <w:tc>
          <w:tcPr>
            <w:tcW w:type="dxa" w:w="2880"/>
          </w:tcPr>
          <w:p>
            <w:r>
              <w:t>MISO capacity price, PY 2026/27 (Michigan Zone 7)</w:t>
            </w:r>
          </w:p>
        </w:tc>
        <w:tc>
          <w:tcPr>
            <w:tcW w:type="dxa" w:w="2880"/>
          </w:tcPr>
          <w:p>
            <w:r>
              <w:t>$424.30/MW-day (summer)</w:t>
            </w:r>
          </w:p>
        </w:tc>
        <w:tc>
          <w:tcPr>
            <w:tcW w:type="dxa" w:w="2880"/>
          </w:tcPr>
          <w:p>
            <w:r>
              <w:t>MISO PRA Results Posting, April 28, 2026</w:t>
            </w:r>
          </w:p>
        </w:tc>
      </w:tr>
      <w:tr>
        <w:tc>
          <w:tcPr>
            <w:tcW w:type="dxa" w:w="2880"/>
          </w:tcPr>
          <w:p>
            <w:r>
              <w:t>Our derived annualized estimate (2025/26)</w:t>
            </w:r>
          </w:p>
        </w:tc>
        <w:tc>
          <w:tcPr>
            <w:tcW w:type="dxa" w:w="2880"/>
          </w:tcPr>
          <w:p>
            <w:r>
              <w:t>~$79/kW-year (our calculation from MISO's $/MW-day price, not an official MISO figure)</w:t>
            </w:r>
          </w:p>
        </w:tc>
        <w:tc>
          <w:tcPr>
            <w:tcW w:type="dxa" w:w="2880"/>
          </w:tcPr>
          <w:p>
            <w:r>
              <w:t>Our math, shown transparently — label as an estimate on the slide</w:t>
            </w:r>
          </w:p>
        </w:tc>
      </w:tr>
      <w:tr>
        <w:tc>
          <w:tcPr>
            <w:tcW w:type="dxa" w:w="2880"/>
          </w:tcPr>
          <w:p>
            <w:r>
              <w:t>DTE storage need (IRP)</w:t>
            </w:r>
          </w:p>
        </w:tc>
        <w:tc>
          <w:tcPr>
            <w:tcW w:type="dxa" w:w="2880"/>
          </w:tcPr>
          <w:p>
            <w:r>
              <w:t>850+ MW</w:t>
            </w:r>
          </w:p>
        </w:tc>
        <w:tc>
          <w:tcPr>
            <w:tcW w:type="dxa" w:w="2880"/>
          </w:tcPr>
          <w:p>
            <w:r>
              <w:t>MPSC Case No. U-21193</w:t>
            </w:r>
          </w:p>
        </w:tc>
      </w:tr>
      <w:tr>
        <w:tc>
          <w:tcPr>
            <w:tcW w:type="dxa" w:w="2880"/>
          </w:tcPr>
          <w:p>
            <w:r>
              <w:t>Consumers storage targets (IRP)</w:t>
            </w:r>
          </w:p>
        </w:tc>
        <w:tc>
          <w:tcPr>
            <w:tcW w:type="dxa" w:w="2880"/>
          </w:tcPr>
          <w:p>
            <w:r>
              <w:t>75 MW by 2027; 550 MW by 2040</w:t>
            </w:r>
          </w:p>
        </w:tc>
        <w:tc>
          <w:tcPr>
            <w:tcW w:type="dxa" w:w="2880"/>
          </w:tcPr>
          <w:p>
            <w:r>
              <w:t>MPSC Case No. U-21090</w:t>
            </w:r>
          </w:p>
        </w:tc>
      </w:tr>
      <w:tr>
        <w:tc>
          <w:tcPr>
            <w:tcW w:type="dxa" w:w="2880"/>
          </w:tcPr>
          <w:p>
            <w:r>
              <w:t>Michigan statewide storage target</w:t>
            </w:r>
          </w:p>
        </w:tc>
        <w:tc>
          <w:tcPr>
            <w:tcW w:type="dxa" w:w="2880"/>
          </w:tcPr>
          <w:p>
            <w:r>
              <w:t>2,500 MW, compliance petitions due Dec 31, 2029</w:t>
            </w:r>
          </w:p>
        </w:tc>
        <w:tc>
          <w:tcPr>
            <w:tcW w:type="dxa" w:w="2880"/>
          </w:tcPr>
          <w:p>
            <w:r>
              <w:t>PA 235 (2023); MPSC Case No. U-21571, Order Jan 23, 2025</w:t>
            </w:r>
          </w:p>
        </w:tc>
      </w:tr>
      <w:tr>
        <w:tc>
          <w:tcPr>
            <w:tcW w:type="dxa" w:w="2880"/>
          </w:tcPr>
          <w:p>
            <w:r>
              <w:t>MPSC utility-scale battery approvals (context)</w:t>
            </w:r>
          </w:p>
        </w:tc>
        <w:tc>
          <w:tcPr>
            <w:tcW w:type="dxa" w:w="2880"/>
          </w:tcPr>
          <w:p>
            <w:r>
              <w:t>1,332 MW across six contracts approved</w:t>
            </w:r>
          </w:p>
        </w:tc>
        <w:tc>
          <w:tcPr>
            <w:tcW w:type="dxa" w:w="2880"/>
          </w:tcPr>
          <w:p>
            <w:r>
              <w:t>MPSC news release, March 27, 2026</w:t>
            </w:r>
          </w:p>
        </w:tc>
      </w:tr>
    </w:tbl>
    <w:p/>
    <w:p>
      <w:r>
        <w:rPr>
          <w:b w:val="0"/>
          <w:i/>
        </w:rPr>
        <w:t>Note: NREL's ATB and Lazard's LCOS reports contain relevant battery cost figures, but we could not directly verify specific $/kW numbers from them in this pass. Before finalizing slides, someone on the team should pull NREL ATB 2024 Residential Battery Storage figures directly (atb.nrel.gov) rather than relying on a secondhand citation.</w:t>
      </w:r>
    </w:p>
    <w:p>
      <w:pPr>
        <w:pStyle w:val="Heading1"/>
      </w:pPr>
      <w:r>
        <w:rPr>
          <w:rFonts w:ascii="Arial" w:hAnsi="Arial"/>
          <w:b/>
          <w:color w:val="1B2A5E"/>
          <w:sz w:val="32"/>
        </w:rPr>
        <w:t>3. Michigan Solar and Storage Law — What We Can Confirm</w:t>
      </w:r>
    </w:p>
    <w:p>
      <w:pPr>
        <w:pStyle w:val="Heading2"/>
      </w:pPr>
      <w:r>
        <w:rPr>
          <w:rFonts w:ascii="Arial" w:hAnsi="Arial"/>
          <w:b/>
          <w:color w:val="E87B22"/>
          <w:sz w:val="26"/>
        </w:rPr>
        <w:t>Net Metering / Distributed Generation</w:t>
      </w:r>
    </w:p>
    <w:p>
      <w:pPr>
        <w:pStyle w:val="ListBullet"/>
      </w:pPr>
      <w:r>
        <w:t>Michigan replaced traditional net metering with a Distributed Generation (DG) tariff, approved by MPSC in 2018 following 2016 legislation (PA 341/342). The DG program uses an "Inflow/Outflow" billing method — customers are credited differently for power they send to the grid versus power they draw from it, rather than a simple 1-for-1 net metering credit.</w:t>
      </w:r>
    </w:p>
    <w:p>
      <w:pPr>
        <w:pStyle w:val="ListBullet"/>
      </w:pPr>
      <w:r>
        <w:t>DG program participation is capped at 1% of each utility's average in-state peak load over the preceding five years.</w:t>
      </w:r>
    </w:p>
    <w:p>
      <w:pPr>
        <w:pStyle w:val="ListBullet"/>
      </w:pPr>
      <w:r>
        <w:t>Existing net-metering customers were grandfathered for 10 years from their enrollment date.</w:t>
      </w:r>
    </w:p>
    <w:p>
      <w:r>
        <w:rPr>
          <w:b w:val="0"/>
          <w:i w:val="0"/>
        </w:rPr>
        <w:t>Source: MPSC Distributed Generation &amp; Legacy Net Metering pages and 2018 DG Report. Implication for our pitch: because our model is UTILITY-OWNED (not customer-owned, bill-credited solar), the DG/net-metering cap may not directly apply the same way — but this needs a real regulatory answer, not an assumption. Flagging as an open question below.</w:t>
      </w:r>
    </w:p>
    <w:p>
      <w:pPr>
        <w:pStyle w:val="Heading2"/>
      </w:pPr>
      <w:r>
        <w:rPr>
          <w:rFonts w:ascii="Arial" w:hAnsi="Arial"/>
          <w:b/>
          <w:color w:val="E87B22"/>
          <w:sz w:val="26"/>
        </w:rPr>
        <w:t>PA 235 (2023) Storage Target</w:t>
      </w:r>
    </w:p>
    <w:p>
      <w:pPr>
        <w:pStyle w:val="ListBullet"/>
      </w:pPr>
      <w:r>
        <w:t>Establishes a statewide energy storage target of 2,500 MW.</w:t>
      </w:r>
    </w:p>
    <w:p>
      <w:pPr>
        <w:pStyle w:val="ListBullet"/>
      </w:pPr>
      <w:r>
        <w:t>MPSC opened Case No. U-21571 (Feb 8, 2024) to set the methodology for dividing the target among utilities; Order issued Jan 23, 2025.</w:t>
      </w:r>
    </w:p>
    <w:p>
      <w:pPr>
        <w:pStyle w:val="ListBullet"/>
      </w:pPr>
      <w:r>
        <w:t>IOUs must file annual storage reports (starting no later than Dec 31, 2024) and compliance petitions by Dec 31, 2029.</w:t>
      </w:r>
    </w:p>
    <w:p>
      <w:pPr>
        <w:pStyle w:val="ListBullet"/>
      </w:pPr>
      <w:r>
        <w:t>PA 235 also required an MPSC study on long-duration/multi-day storage, delivered Feb 27, 2025.</w:t>
      </w:r>
    </w:p>
    <w:p>
      <w:r>
        <w:rPr>
          <w:b w:val="0"/>
          <w:i/>
        </w:rPr>
        <w:t>Source: MPSC "Statewide Energy Storage Target" workgroup page. Note: we attempted to pull the exact statutory text of PA 235 directly and could not access it in this research pass — the figures above come from MPSC's official summary pages, which are high-confidence but should be cross-checked against the bill text before quoting it as law in a slide.</w:t>
      </w:r>
    </w:p>
    <w:p>
      <w:pPr>
        <w:pStyle w:val="Heading1"/>
      </w:pPr>
      <w:r>
        <w:rPr>
          <w:rFonts w:ascii="Arial" w:hAnsi="Arial"/>
          <w:b/>
          <w:color w:val="1B2A5E"/>
          <w:sz w:val="32"/>
        </w:rPr>
        <w:t>4. Installation and Maintenance — Real Precedent, Real Open Questions</w:t>
      </w:r>
    </w:p>
    <w:p>
      <w:pPr>
        <w:pStyle w:val="Heading2"/>
      </w:pPr>
      <w:r>
        <w:rPr>
          <w:rFonts w:ascii="Arial" w:hAnsi="Arial"/>
          <w:b/>
          <w:color w:val="E87B22"/>
          <w:sz w:val="26"/>
        </w:rPr>
        <w:t>What We Can Point To</w:t>
      </w:r>
    </w:p>
    <w:p>
      <w:pPr>
        <w:pStyle w:val="ListBullet"/>
      </w:pPr>
      <w:r>
        <w:t>Green Mountain Power's residential Powerwall program uses named, Tesla-certified installers, including Green Mountain Solar and Green Mountain Batteries — both explicitly marketed as GMP's preferred/certified installation partners.</w:t>
      </w:r>
    </w:p>
    <w:p>
      <w:pPr>
        <w:pStyle w:val="ListBullet"/>
      </w:pPr>
      <w:r>
        <w:t>This is the model to replicate: a certified contractor network, not APTIM performing installs directly.</w:t>
      </w:r>
    </w:p>
    <w:p>
      <w:pPr>
        <w:pStyle w:val="Heading2"/>
      </w:pPr>
      <w:r>
        <w:rPr>
          <w:rFonts w:ascii="Arial" w:hAnsi="Arial"/>
          <w:b/>
          <w:color w:val="E87B22"/>
          <w:sz w:val="26"/>
        </w:rPr>
        <w:t>What Is Genuinely Unresolved (Flagged Honestly)</w:t>
      </w:r>
    </w:p>
    <w:p>
      <w:pPr>
        <w:pStyle w:val="ListBullet"/>
      </w:pPr>
      <w:r>
        <w:t>DTE and Consumers Energy currently operate THERMOSTAT-based demand response contractor networks (DTE's SmartCurrents/Smart Savers programs), not battery installation networks. We should not assume these can be repurposed for battery installs without new electrical-trade contractor onboarding.</w:t>
      </w:r>
    </w:p>
    <w:p>
      <w:pPr>
        <w:pStyle w:val="ListBullet"/>
      </w:pPr>
      <w:r>
        <w:t>We found no evidence either way on whether Consumers Energy has any residential storage installer network — this is an open question, not a confirmed gap.</w:t>
      </w:r>
    </w:p>
    <w:p>
      <w:pPr>
        <w:pStyle w:val="ListBullet"/>
      </w:pPr>
      <w:r>
        <w:t>Michigan interconnection rules specifically for UTILITY-OWNED batteries sited at customer homes (as opposed to customer-owned solar/storage) do not appear to exist as a distinct category in current MPSC rules. This may be a genuine regulatory gap the team should flag as a risk in the pitch, not something we resolve on our own.</w:t>
      </w:r>
    </w:p>
    <w:p>
      <w:r>
        <w:rPr>
          <w:b w:val="0"/>
          <w:i/>
        </w:rPr>
        <w:t>Recommendation: name this as an open regulatory question in the deck rather than assuming an answer. It is a legitimate part of the pitch to say "this is a question we would work through with the utility and MPSC" — that is normal for a market-entry proposal.</w:t>
      </w:r>
    </w:p>
    <w:p>
      <w:pPr>
        <w:pStyle w:val="Heading1"/>
      </w:pPr>
      <w:r>
        <w:rPr>
          <w:rFonts w:ascii="Arial" w:hAnsi="Arial"/>
          <w:b/>
          <w:color w:val="1B2A5E"/>
          <w:sz w:val="32"/>
        </w:rPr>
        <w:t>5. APTIM Business Model Questions — Team Decisions, Not Settled Facts</w:t>
      </w:r>
    </w:p>
    <w:p>
      <w:r>
        <w:rPr>
          <w:b/>
          <w:i w:val="0"/>
        </w:rPr>
        <w:t>A teammate correctly noted these were presented too vaguely. Here is what is actually known process, versus what the team needs to decide: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Question</w:t>
            </w:r>
          </w:p>
        </w:tc>
        <w:tc>
          <w:tcPr>
            <w:tcW w:type="dxa" w:w="2880"/>
          </w:tcPr>
          <w:p>
            <w:r/>
            <w:r>
              <w:rPr>
                <w:b/>
              </w:rPr>
              <w:t>What We Know</w:t>
            </w:r>
          </w:p>
        </w:tc>
        <w:tc>
          <w:tcPr>
            <w:tcW w:type="dxa" w:w="2880"/>
          </w:tcPr>
          <w:p>
            <w:r/>
            <w:r>
              <w:rPr>
                <w:b/>
              </w:rPr>
              <w:t>What the Team Must Decide</w:t>
            </w:r>
          </w:p>
        </w:tc>
      </w:tr>
      <w:tr>
        <w:tc>
          <w:tcPr>
            <w:tcW w:type="dxa" w:w="2880"/>
          </w:tcPr>
          <w:p>
            <w:r>
              <w:t>How would APTIM win this contract?</w:t>
            </w:r>
          </w:p>
        </w:tc>
        <w:tc>
          <w:tcPr>
            <w:tcW w:type="dxa" w:w="2880"/>
          </w:tcPr>
          <w:p>
            <w:r>
              <w:t>Utility program administration contracts are typically awarded via competitive RFP (this is how APTIM won Focus on Energy and its Texas SECO contract) — not direct backroom outreach.</w:t>
            </w:r>
          </w:p>
        </w:tc>
        <w:tc>
          <w:tcPr>
            <w:tcW w:type="dxa" w:w="2880"/>
          </w:tcPr>
          <w:p>
            <w:r>
              <w:t>Do we pitch this as "APTIM would respond to a future Michigan RFP," or do we recommend APTIM proactively approach DTE/Consumers before one is issued?</w:t>
            </w:r>
          </w:p>
        </w:tc>
      </w:tr>
      <w:tr>
        <w:tc>
          <w:tcPr>
            <w:tcW w:type="dxa" w:w="2880"/>
          </w:tcPr>
          <w:p>
            <w:r>
              <w:t>Does APTIM hire the installer?</w:t>
            </w:r>
          </w:p>
        </w:tc>
        <w:tc>
          <w:tcPr>
            <w:tcW w:type="dxa" w:w="2880"/>
          </w:tcPr>
          <w:p>
            <w:r>
              <w:t>Standard TPA practice: APTIM manages a contractor/trade-ally network rather than installing in-house (consistent with the GMP precedent above).</w:t>
            </w:r>
          </w:p>
        </w:tc>
        <w:tc>
          <w:tcPr>
            <w:tcW w:type="dxa" w:w="2880"/>
          </w:tcPr>
          <w:p>
            <w:r>
              <w:t>Which specific contractors would we name as candidates in Michigan? We have not identified any yet — this needs research or can be left as "APTIM would establish a certified installer network," stated honestly as a to-be-built network.</w:t>
            </w:r>
          </w:p>
        </w:tc>
      </w:tr>
      <w:tr>
        <w:tc>
          <w:tcPr>
            <w:tcW w:type="dxa" w:w="2880"/>
          </w:tcPr>
          <w:p>
            <w:r>
              <w:t>Where does APTIM's funding come from?</w:t>
            </w:r>
          </w:p>
        </w:tc>
        <w:tc>
          <w:tcPr>
            <w:tcW w:type="dxa" w:w="2880"/>
          </w:tcPr>
          <w:p>
            <w:r>
              <w:t>APTIM does NOT fund the batteries — the utility does, via rate base (see Section 1). APTIM's revenue is its administration fee, paid by the utility as an operating expense, also recovered through rates.</w:t>
            </w:r>
          </w:p>
        </w:tc>
        <w:tc>
          <w:tcPr>
            <w:tcW w:type="dxa" w:w="2880"/>
          </w:tcPr>
          <w:p>
            <w:r>
              <w:t>What fee structure do we propose — flat fee, per-household fee, performance-based? This has not been decided and should be, even at a placeholder level, before final slides.</w:t>
            </w:r>
          </w:p>
        </w:tc>
      </w:tr>
    </w:tbl>
    <w:p/>
    <w:p>
      <w:pPr>
        <w:pStyle w:val="Heading1"/>
      </w:pPr>
      <w:r>
        <w:rPr>
          <w:rFonts w:ascii="Arial" w:hAnsi="Arial"/>
          <w:b/>
          <w:color w:val="1B2A5E"/>
          <w:sz w:val="32"/>
        </w:rPr>
        <w:t>6. Honest Summary of What This Doc Does and Doesn't Have</w:t>
      </w:r>
    </w:p>
    <w:p>
      <w:r>
        <w:rPr>
          <w:b/>
          <w:i w:val="0"/>
        </w:rPr>
        <w:t>This document is a foundation, not a finished business case. It fact-checks and sources what can be verified, and clearly marks what remains a team decision or an open regulatory question. Before slides are finalized, the team should:</w:t>
      </w:r>
    </w:p>
    <w:p>
      <w:pPr>
        <w:pStyle w:val="ListBullet"/>
      </w:pPr>
      <w:r>
        <w:t>Decide the RFP-vs-outreach strategy and the fee structure (Section 5) — these are our decisions to make, not research to find.</w:t>
      </w:r>
    </w:p>
    <w:p>
      <w:pPr>
        <w:pStyle w:val="ListBullet"/>
      </w:pPr>
      <w:r>
        <w:t>Pull NREL ATB 2024 and Lazard LCOS figures directly if we want a defensible $/kW battery cost number beyond the MISO capacity price proxy.</w:t>
      </w:r>
    </w:p>
    <w:p>
      <w:pPr>
        <w:pStyle w:val="ListBullet"/>
      </w:pPr>
      <w:r>
        <w:t>Decide how to frame the "no confirmed Michigan relationship" fact — as a market-entry opportunity (our recommendation) or shift weight back toward Wisconsin/Louisiana where APTIM has existing incumbency.</w:t>
      </w:r>
    </w:p>
    <w:p>
      <w:pPr>
        <w:pStyle w:val="ListBullet"/>
      </w:pPr>
      <w:r>
        <w:t>Research whether Consumers Energy has any storage-relevant contractor network, and get a real answer (not assumed) on utility-owned-battery interconnection rules.</w:t>
      </w:r>
    </w:p>
    <w:p/>
    <w:p>
      <w:r>
        <w:rPr>
          <w:i/>
          <w:sz w:val="18"/>
        </w:rPr>
        <w:t>Sources on file: MISO PRA Results Postings (PY 2024/25, 2025/26, 2026/27); MPSC Case Nos. U-21193 (DTE IRP), U-21090 (Consumers IRP), U-21571 (PA 235 storage target methodology); MPSC Distributed Generation &amp; Legacy Net Metering pages and 2018 DG Report; MPSC news release March 27, 2026 (battery contract approvals); Green Mountain Power installer marketing pages (Green Mountain Solar, Green Mountain Batteries); DTE SmartCurrents/Smart Savers program terms; NRDC "Utility Accountability 101"; EIA "How electricity prices are regulated." Full research thread available from Christian — includes explicit notes on what remains unverified.</w:t>
      </w:r>
    </w:p>
    <w:p>
      <w:r>
        <w:br w:type="page"/>
      </w:r>
    </w:p>
    <w:p>
      <w:pPr>
        <w:pStyle w:val="Heading1"/>
      </w:pPr>
      <w:r>
        <w:rPr>
          <w:rFonts w:ascii="Arial" w:hAnsi="Arial"/>
          <w:b/>
          <w:color w:val="1B2A5E"/>
          <w:sz w:val="32"/>
        </w:rPr>
        <w:t>7. QC Checklist — What Still Needs Human Verification Before Final Slides</w:t>
      </w:r>
    </w:p>
    <w:p>
      <w:r>
        <w:rPr>
          <w:b/>
          <w:i w:val="0"/>
        </w:rPr>
        <w:t>This is a working checklist for the team. Items are grouped by urgency. None of these should appear on a final slide until checked off.</w:t>
      </w:r>
    </w:p>
    <w:p>
      <w:pPr>
        <w:pStyle w:val="Heading2"/>
      </w:pPr>
      <w:r>
        <w:rPr>
          <w:rFonts w:ascii="Arial" w:hAnsi="Arial"/>
          <w:b/>
          <w:color w:val="E87B22"/>
          <w:sz w:val="26"/>
        </w:rPr>
        <w:t>MUST VERIFY before slides go out (high risk if wrong)</w:t>
      </w:r>
    </w:p>
    <w:p>
      <w:pPr>
        <w:pStyle w:val="ListBullet"/>
      </w:pPr>
      <w:r>
        <w:t>PA 235 exact statutory text — we cited MPSC's summary pages, not the bill text itself (site blocked automated access). Someone should open the Michigan Legislature's PDF directly and confirm the 2,500 MW figure and Dec 31, 2029 deadline.</w:t>
      </w:r>
    </w:p>
    <w:p>
      <w:pPr>
        <w:pStyle w:val="ListBullet"/>
      </w:pPr>
      <w:r>
        <w:t>NRDC "Utility Accountability 101" — confirm our plain-language rate-base explanation matches NRDC's actual wording before quoting or citing it directly in a slide.</w:t>
      </w:r>
    </w:p>
    <w:p>
      <w:pPr>
        <w:pStyle w:val="ListBullet"/>
      </w:pPr>
      <w:r>
        <w:t>APTIM's Michigan presence — we searched APTIM's site and public MPSC/utility program pages and found nothing. Before presenting this as fact, do one more direct check (ask an APTIM contact, or search APTIM's project list page directly) in case a contract exists that simply isn't indexed publicly.</w:t>
      </w:r>
    </w:p>
    <w:p>
      <w:pPr>
        <w:pStyle w:val="ListBullet"/>
      </w:pPr>
      <w:r>
        <w:t>NREL ATB 2024 Residential Battery Storage figures — page identified but not accessible in our research pass. If we want a $/kW capital cost number beyond the MISO price proxy, someone needs to open atb.nrel.gov directly and pull the actual figures.</w:t>
      </w:r>
    </w:p>
    <w:p>
      <w:pPr>
        <w:pStyle w:val="Heading2"/>
      </w:pPr>
      <w:r>
        <w:rPr>
          <w:rFonts w:ascii="Arial" w:hAnsi="Arial"/>
          <w:b/>
          <w:color w:val="E87B22"/>
          <w:sz w:val="26"/>
        </w:rPr>
        <w:t>SHOULD VERIFY (moderate risk, strengthens the pitch if confirmed)</w:t>
      </w:r>
    </w:p>
    <w:p>
      <w:pPr>
        <w:pStyle w:val="ListBullet"/>
      </w:pPr>
      <w:r>
        <w:t>Green Mountain Power's own tariff filing — we cited installer names (Green Mountain Solar, Green Mountain Batteries) from installer marketing pages and a secondary case study, not GMP's own regulatory filing (which returned an access error). Worth confirming directly if time allows.</w:t>
      </w:r>
    </w:p>
    <w:p>
      <w:pPr>
        <w:pStyle w:val="ListBullet"/>
      </w:pPr>
      <w:r>
        <w:t>Whether Consumers Energy has any residential storage-relevant contractor network — no evidence found either way. This is an open question, not a confirmed gap; a direct search of Consumers' program pages could resolve it.</w:t>
      </w:r>
    </w:p>
    <w:p>
      <w:pPr>
        <w:pStyle w:val="ListBullet"/>
      </w:pPr>
      <w:r>
        <w:t>DTE and Consumers IRP filings (Case Nos. U-21193 and U-21090) — we cited the MW storage targets from search summaries. If this number appears on a slide Sam will scrutinize, pull the actual IRP order from MPSC's E-Dockets site to confirm.</w:t>
      </w:r>
    </w:p>
    <w:p>
      <w:pPr>
        <w:pStyle w:val="Heading2"/>
      </w:pPr>
      <w:r>
        <w:rPr>
          <w:rFonts w:ascii="Arial" w:hAnsi="Arial"/>
          <w:b/>
          <w:color w:val="E87B22"/>
          <w:sz w:val="26"/>
        </w:rPr>
        <w:t>OPEN QUESTIONS (not verification failures — genuine unknowns the team should address as part of the pitch, not resolve unilaterally)</w:t>
      </w:r>
    </w:p>
    <w:p>
      <w:pPr>
        <w:pStyle w:val="ListBullet"/>
      </w:pPr>
      <w:r>
        <w:t>Whether Michigan has interconnection rules for utility-owned (vs. customer-owned) residential batteries. This may be a real regulatory gap — acceptable to present as "a question we would work through with MPSC," not something to guess an answer to.</w:t>
      </w:r>
    </w:p>
    <w:p>
      <w:pPr>
        <w:pStyle w:val="ListBullet"/>
      </w:pPr>
      <w:r>
        <w:t>RFP timing, APTIM's fee structure, and installer selection — these are team decisions, not research questions. See Section 5.</w:t>
      </w:r>
    </w:p>
    <w:p>
      <w:pPr>
        <w:pStyle w:val="Heading1"/>
      </w:pPr>
      <w:r>
        <w:rPr>
          <w:rFonts w:ascii="Arial" w:hAnsi="Arial"/>
          <w:b/>
          <w:color w:val="1B2A5E"/>
          <w:sz w:val="32"/>
        </w:rPr>
        <w:t>8. Source Links</w:t>
      </w:r>
    </w:p>
    <w:p>
      <w:r>
        <w:rPr>
          <w:b/>
          <w:i w:val="0"/>
        </w:rPr>
        <w:t>Direct links for QC. Click through and confirm before citing any of these on a final slide.</w:t>
      </w:r>
    </w:p>
    <w:p>
      <w:pPr>
        <w:pStyle w:val="Heading2"/>
      </w:pPr>
      <w:r>
        <w:rPr>
          <w:rFonts w:ascii="Arial" w:hAnsi="Arial"/>
          <w:b/>
          <w:color w:val="E87B22"/>
          <w:sz w:val="26"/>
        </w:rPr>
        <w:t>Michigan Regulatory (MPSC)</w:t>
      </w:r>
    </w:p>
    <w:p>
      <w:pPr>
        <w:pStyle w:val="ListBullet"/>
      </w:pPr>
      <w:r>
        <w:rPr>
          <w:rFonts w:ascii="Arial" w:hAnsi="Arial"/>
          <w:sz w:val="22"/>
        </w:rPr>
        <w:t xml:space="preserve">PA 235 storage target summary: </w:t>
      </w:r>
      <w:hyperlink r:id="rId9">
        <w:r>
          <w:rPr>
            <w:color w:val="0563C1"/>
            <w:u w:val="single"/>
            <w:rFonts w:ascii="Arial" w:hAnsi="Arial"/>
            <w:sz w:val="18"/>
          </w:rPr>
          <w:t>MPSC Statewide Energy Storage Target page</w:t>
        </w:r>
      </w:hyperlink>
    </w:p>
    <w:p>
      <w:pPr>
        <w:pStyle w:val="ListBullet"/>
      </w:pPr>
      <w:r>
        <w:rPr>
          <w:rFonts w:ascii="Arial" w:hAnsi="Arial"/>
          <w:sz w:val="22"/>
        </w:rPr>
        <w:t xml:space="preserve">MPSC battery contract approvals (Mar 27, 2026): </w:t>
      </w:r>
      <w:hyperlink r:id="rId10">
        <w:r>
          <w:rPr>
            <w:color w:val="0563C1"/>
            <w:u w:val="single"/>
            <w:rFonts w:ascii="Arial" w:hAnsi="Arial"/>
            <w:sz w:val="18"/>
          </w:rPr>
          <w:t>MPSC news release</w:t>
        </w:r>
      </w:hyperlink>
    </w:p>
    <w:p>
      <w:pPr>
        <w:pStyle w:val="ListBullet"/>
      </w:pPr>
      <w:r>
        <w:rPr>
          <w:rFonts w:ascii="Arial" w:hAnsi="Arial"/>
          <w:sz w:val="22"/>
        </w:rPr>
        <w:t xml:space="preserve">Michigan Distributed Generation / Legacy Net Metering: </w:t>
      </w:r>
      <w:hyperlink r:id="rId11">
        <w:r>
          <w:rPr>
            <w:color w:val="0563C1"/>
            <w:u w:val="single"/>
            <w:rFonts w:ascii="Arial" w:hAnsi="Arial"/>
            <w:sz w:val="18"/>
          </w:rPr>
          <w:t>MPSC DG &amp; LNM page</w:t>
        </w:r>
      </w:hyperlink>
    </w:p>
    <w:p>
      <w:pPr>
        <w:pStyle w:val="ListBullet"/>
      </w:pPr>
      <w:r>
        <w:rPr>
          <w:rFonts w:ascii="Arial" w:hAnsi="Arial"/>
          <w:sz w:val="22"/>
        </w:rPr>
        <w:t xml:space="preserve">PA 235 full text (attempt directly — blocked in our automated pass): </w:t>
      </w:r>
      <w:hyperlink r:id="rId12">
        <w:r>
          <w:rPr>
            <w:color w:val="0563C1"/>
            <w:u w:val="single"/>
            <w:rFonts w:ascii="Arial" w:hAnsi="Arial"/>
            <w:sz w:val="18"/>
          </w:rPr>
          <w:t>Michigan Legislature PA 235 PDF</w:t>
        </w:r>
      </w:hyperlink>
    </w:p>
    <w:p>
      <w:pPr>
        <w:pStyle w:val="ListBullet"/>
      </w:pPr>
      <w:r>
        <w:rPr>
          <w:rFonts w:ascii="Arial" w:hAnsi="Arial"/>
          <w:sz w:val="22"/>
        </w:rPr>
        <w:t xml:space="preserve">MPSC Long-Duration/Multi-Day Storage study: </w:t>
      </w:r>
      <w:hyperlink r:id="rId13">
        <w:r>
          <w:rPr>
            <w:color w:val="0563C1"/>
            <w:u w:val="single"/>
            <w:rFonts w:ascii="Arial" w:hAnsi="Arial"/>
            <w:sz w:val="18"/>
          </w:rPr>
          <w:t>MPSC LDES/MDES study</w:t>
        </w:r>
      </w:hyperlink>
    </w:p>
    <w:p>
      <w:pPr>
        <w:pStyle w:val="ListBullet"/>
      </w:pPr>
      <w:r>
        <w:rPr>
          <w:rFonts w:ascii="Arial" w:hAnsi="Arial"/>
          <w:sz w:val="22"/>
        </w:rPr>
        <w:t xml:space="preserve">MPSC PRA Issue Brief (historical Zone 7 pricing): </w:t>
      </w:r>
      <w:hyperlink r:id="rId14">
        <w:r>
          <w:rPr>
            <w:color w:val="0563C1"/>
            <w:u w:val="single"/>
            <w:rFonts w:ascii="Arial" w:hAnsi="Arial"/>
            <w:sz w:val="18"/>
          </w:rPr>
          <w:t>MPSC PRA Issue Brief</w:t>
        </w:r>
      </w:hyperlink>
    </w:p>
    <w:p>
      <w:pPr>
        <w:pStyle w:val="Heading2"/>
      </w:pPr>
      <w:r>
        <w:rPr>
          <w:rFonts w:ascii="Arial" w:hAnsi="Arial"/>
          <w:b/>
          <w:color w:val="E87B22"/>
          <w:sz w:val="26"/>
        </w:rPr>
        <w:t>MISO Capacity Market</w:t>
      </w:r>
    </w:p>
    <w:p>
      <w:pPr>
        <w:pStyle w:val="ListBullet"/>
      </w:pPr>
      <w:r>
        <w:rPr>
          <w:rFonts w:ascii="Arial" w:hAnsi="Arial"/>
          <w:sz w:val="22"/>
        </w:rPr>
        <w:t xml:space="preserve">PY 2024/25 PRA results: </w:t>
      </w:r>
      <w:hyperlink r:id="rId15">
        <w:r>
          <w:rPr>
            <w:color w:val="0563C1"/>
            <w:u w:val="single"/>
            <w:rFonts w:ascii="Arial" w:hAnsi="Arial"/>
            <w:sz w:val="18"/>
          </w:rPr>
          <w:t>MISO PRA Results Posting</w:t>
        </w:r>
      </w:hyperlink>
    </w:p>
    <w:p>
      <w:pPr>
        <w:pStyle w:val="ListBullet"/>
      </w:pPr>
      <w:r>
        <w:rPr>
          <w:rFonts w:ascii="Arial" w:hAnsi="Arial"/>
          <w:sz w:val="22"/>
        </w:rPr>
        <w:t xml:space="preserve">PY 2025/26 PRA results: </w:t>
      </w:r>
      <w:hyperlink r:id="rId16">
        <w:r>
          <w:rPr>
            <w:color w:val="0563C1"/>
            <w:u w:val="single"/>
            <w:rFonts w:ascii="Arial" w:hAnsi="Arial"/>
            <w:sz w:val="18"/>
          </w:rPr>
          <w:t>MISO PRA Results Posting</w:t>
        </w:r>
      </w:hyperlink>
    </w:p>
    <w:p>
      <w:pPr>
        <w:pStyle w:val="ListBullet"/>
      </w:pPr>
      <w:r>
        <w:rPr>
          <w:rFonts w:ascii="Arial" w:hAnsi="Arial"/>
          <w:sz w:val="22"/>
        </w:rPr>
        <w:t xml:space="preserve">PY 2026/27 PRA results (Michigan Zone 7): </w:t>
      </w:r>
      <w:hyperlink r:id="rId17">
        <w:r>
          <w:rPr>
            <w:color w:val="0563C1"/>
            <w:u w:val="single"/>
            <w:rFonts w:ascii="Arial" w:hAnsi="Arial"/>
            <w:sz w:val="18"/>
          </w:rPr>
          <w:t>MISO PRA Results Posting</w:t>
        </w:r>
      </w:hyperlink>
    </w:p>
    <w:p>
      <w:pPr>
        <w:pStyle w:val="ListBullet"/>
      </w:pPr>
      <w:r>
        <w:rPr>
          <w:rFonts w:ascii="Arial" w:hAnsi="Arial"/>
          <w:sz w:val="22"/>
        </w:rPr>
        <w:t xml:space="preserve">Utility Dive coverage of the 2025/26 spike: </w:t>
      </w:r>
      <w:hyperlink r:id="rId18">
        <w:r>
          <w:rPr>
            <w:color w:val="0563C1"/>
            <w:u w:val="single"/>
            <w:rFonts w:ascii="Arial" w:hAnsi="Arial"/>
            <w:sz w:val="18"/>
          </w:rPr>
          <w:t>Utility Dive article</w:t>
        </w:r>
      </w:hyperlink>
    </w:p>
    <w:p>
      <w:pPr>
        <w:pStyle w:val="Heading2"/>
      </w:pPr>
      <w:r>
        <w:rPr>
          <w:rFonts w:ascii="Arial" w:hAnsi="Arial"/>
          <w:b/>
          <w:color w:val="E87B22"/>
          <w:sz w:val="26"/>
        </w:rPr>
        <w:t>Green Mountain Power / Installer Precedent</w:t>
      </w:r>
    </w:p>
    <w:p>
      <w:pPr>
        <w:pStyle w:val="ListBullet"/>
      </w:pPr>
      <w:r>
        <w:rPr>
          <w:rFonts w:ascii="Arial" w:hAnsi="Arial"/>
          <w:sz w:val="22"/>
        </w:rPr>
        <w:t xml:space="preserve">Green Mountain Solar (Tesla-certified installer): </w:t>
      </w:r>
      <w:hyperlink r:id="rId19">
        <w:r>
          <w:rPr>
            <w:color w:val="0563C1"/>
            <w:u w:val="single"/>
            <w:rFonts w:ascii="Arial" w:hAnsi="Arial"/>
            <w:sz w:val="18"/>
          </w:rPr>
          <w:t>Green Mountain Solar page</w:t>
        </w:r>
      </w:hyperlink>
    </w:p>
    <w:p>
      <w:pPr>
        <w:pStyle w:val="ListBullet"/>
      </w:pPr>
      <w:r>
        <w:rPr>
          <w:rFonts w:ascii="Arial" w:hAnsi="Arial"/>
          <w:sz w:val="22"/>
        </w:rPr>
        <w:t xml:space="preserve">Green Mountain Batteries (GMP preferred installer): </w:t>
      </w:r>
      <w:hyperlink r:id="rId20">
        <w:r>
          <w:rPr>
            <w:color w:val="0563C1"/>
            <w:u w:val="single"/>
            <w:rFonts w:ascii="Arial" w:hAnsi="Arial"/>
            <w:sz w:val="18"/>
          </w:rPr>
          <w:t>Green Mountain Batteries site</w:t>
        </w:r>
      </w:hyperlink>
    </w:p>
    <w:p>
      <w:pPr>
        <w:pStyle w:val="ListBullet"/>
      </w:pPr>
      <w:r>
        <w:rPr>
          <w:rFonts w:ascii="Arial" w:hAnsi="Arial"/>
          <w:sz w:val="22"/>
        </w:rPr>
        <w:t xml:space="preserve">Tesla Certified Installer network: </w:t>
      </w:r>
      <w:hyperlink r:id="rId21">
        <w:r>
          <w:rPr>
            <w:color w:val="0563C1"/>
            <w:u w:val="single"/>
            <w:rFonts w:ascii="Arial" w:hAnsi="Arial"/>
            <w:sz w:val="18"/>
          </w:rPr>
          <w:t>Tesla installer page</w:t>
        </w:r>
      </w:hyperlink>
    </w:p>
    <w:p>
      <w:pPr>
        <w:pStyle w:val="ListBullet"/>
      </w:pPr>
      <w:r>
        <w:rPr>
          <w:rFonts w:ascii="Arial" w:hAnsi="Arial"/>
          <w:sz w:val="22"/>
        </w:rPr>
        <w:t xml:space="preserve">EnergySage case study on GMP program history: </w:t>
      </w:r>
      <w:hyperlink r:id="rId22">
        <w:r>
          <w:rPr>
            <w:color w:val="0563C1"/>
            <w:u w:val="single"/>
            <w:rFonts w:ascii="Arial" w:hAnsi="Arial"/>
            <w:sz w:val="18"/>
          </w:rPr>
          <w:t>EnergySage article</w:t>
        </w:r>
      </w:hyperlink>
    </w:p>
    <w:p>
      <w:pPr>
        <w:pStyle w:val="ListBullet"/>
      </w:pPr>
      <w:r>
        <w:rPr>
          <w:rFonts w:ascii="Arial" w:hAnsi="Arial"/>
          <w:sz w:val="22"/>
        </w:rPr>
        <w:t xml:space="preserve">GMP tariff/lease PDF (attempt directly — blocked in our automated pass): </w:t>
      </w:r>
      <w:hyperlink r:id="rId23">
        <w:r>
          <w:rPr>
            <w:color w:val="0563C1"/>
            <w:u w:val="single"/>
            <w:rFonts w:ascii="Arial" w:hAnsi="Arial"/>
            <w:sz w:val="18"/>
          </w:rPr>
          <w:t>GMP tariff PDF</w:t>
        </w:r>
      </w:hyperlink>
    </w:p>
    <w:p>
      <w:pPr>
        <w:pStyle w:val="Heading2"/>
      </w:pPr>
      <w:r>
        <w:rPr>
          <w:rFonts w:ascii="Arial" w:hAnsi="Arial"/>
          <w:b/>
          <w:color w:val="E87B22"/>
          <w:sz w:val="26"/>
        </w:rPr>
        <w:t>DTE / Consumers Energy Programs</w:t>
      </w:r>
    </w:p>
    <w:p>
      <w:pPr>
        <w:pStyle w:val="ListBullet"/>
      </w:pPr>
      <w:r>
        <w:rPr>
          <w:rFonts w:ascii="Arial" w:hAnsi="Arial"/>
          <w:sz w:val="22"/>
        </w:rPr>
        <w:t xml:space="preserve">DTE Smart Savers / thermostat program terms: </w:t>
      </w:r>
      <w:hyperlink r:id="rId24">
        <w:r>
          <w:rPr>
            <w:color w:val="0563C1"/>
            <w:u w:val="single"/>
            <w:rFonts w:ascii="Arial" w:hAnsi="Arial"/>
            <w:sz w:val="18"/>
          </w:rPr>
          <w:t>DTE SmartCurrents Terms</w:t>
        </w:r>
      </w:hyperlink>
    </w:p>
    <w:p>
      <w:pPr>
        <w:pStyle w:val="ListBullet"/>
      </w:pPr>
      <w:r>
        <w:rPr>
          <w:rFonts w:ascii="Arial" w:hAnsi="Arial"/>
          <w:sz w:val="22"/>
        </w:rPr>
        <w:t xml:space="preserve">Thermostat Rewards / DTE FAQ: </w:t>
      </w:r>
      <w:hyperlink r:id="rId25">
        <w:r>
          <w:rPr>
            <w:color w:val="0563C1"/>
            <w:u w:val="single"/>
            <w:rFonts w:ascii="Arial" w:hAnsi="Arial"/>
            <w:sz w:val="18"/>
          </w:rPr>
          <w:t>Thermostat Rewards FAQ</w:t>
        </w:r>
      </w:hyperlink>
    </w:p>
    <w:p>
      <w:pPr>
        <w:pStyle w:val="ListBullet"/>
      </w:pPr>
      <w:r>
        <w:rPr>
          <w:rFonts w:ascii="Arial" w:hAnsi="Arial"/>
          <w:sz w:val="22"/>
        </w:rPr>
        <w:t xml:space="preserve">APTIM's own energy efficiency/electrification capability page (general, not Michigan-specific): </w:t>
      </w:r>
      <w:hyperlink r:id="rId26">
        <w:r>
          <w:rPr>
            <w:color w:val="0563C1"/>
            <w:u w:val="single"/>
            <w:rFonts w:ascii="Arial" w:hAnsi="Arial"/>
            <w:sz w:val="18"/>
          </w:rPr>
          <w:t>APTIM services page</w:t>
        </w:r>
      </w:hyperlink>
    </w:p>
    <w:p>
      <w:pPr>
        <w:pStyle w:val="ListBullet"/>
      </w:pPr>
      <w:r>
        <w:rPr>
          <w:rFonts w:ascii="Arial" w:hAnsi="Arial"/>
          <w:sz w:val="22"/>
        </w:rPr>
        <w:t xml:space="preserve">APTIM Entergy New Orleans Energy Smart project page (for comparison — confirmed APTIM contract, different state): </w:t>
      </w:r>
      <w:hyperlink r:id="rId27">
        <w:r>
          <w:rPr>
            <w:color w:val="0563C1"/>
            <w:u w:val="single"/>
            <w:rFonts w:ascii="Arial" w:hAnsi="Arial"/>
            <w:sz w:val="18"/>
          </w:rPr>
          <w:t>APTIM Energy Smart project page</w:t>
        </w:r>
      </w:hyperlink>
    </w:p>
    <w:p>
      <w:pPr>
        <w:pStyle w:val="Heading2"/>
      </w:pPr>
      <w:r>
        <w:rPr>
          <w:rFonts w:ascii="Arial" w:hAnsi="Arial"/>
          <w:b/>
          <w:color w:val="E87B22"/>
          <w:sz w:val="26"/>
        </w:rPr>
        <w:t>Rate-Basing / Regulatory Economics Background</w:t>
      </w:r>
    </w:p>
    <w:p>
      <w:pPr>
        <w:pStyle w:val="ListBullet"/>
      </w:pPr>
      <w:r>
        <w:rPr>
          <w:rFonts w:ascii="Arial" w:hAnsi="Arial"/>
          <w:sz w:val="22"/>
        </w:rPr>
        <w:t xml:space="preserve">NRDC — Utility Accountability 101 (verify exact wording before quoting): </w:t>
      </w:r>
      <w:hyperlink r:id="rId28">
        <w:r>
          <w:rPr>
            <w:color w:val="0563C1"/>
            <w:u w:val="single"/>
            <w:rFonts w:ascii="Arial" w:hAnsi="Arial"/>
            <w:sz w:val="18"/>
          </w:rPr>
          <w:t>NRDC article</w:t>
        </w:r>
      </w:hyperlink>
    </w:p>
    <w:p>
      <w:pPr>
        <w:pStyle w:val="ListBullet"/>
      </w:pPr>
      <w:r>
        <w:rPr>
          <w:rFonts w:ascii="Arial" w:hAnsi="Arial"/>
          <w:sz w:val="22"/>
        </w:rPr>
        <w:t xml:space="preserve">EIA — How electricity prices are regulated: </w:t>
      </w:r>
      <w:hyperlink r:id="rId29">
        <w:r>
          <w:rPr>
            <w:color w:val="0563C1"/>
            <w:u w:val="single"/>
            <w:rFonts w:ascii="Arial" w:hAnsi="Arial"/>
            <w:sz w:val="18"/>
          </w:rPr>
          <w:t>EIA explainer</w:t>
        </w:r>
      </w:hyperlink>
    </w:p>
    <w:p>
      <w:pPr>
        <w:pStyle w:val="Heading2"/>
      </w:pPr>
      <w:r>
        <w:rPr>
          <w:rFonts w:ascii="Arial" w:hAnsi="Arial"/>
          <w:b/>
          <w:color w:val="E87B22"/>
          <w:sz w:val="26"/>
        </w:rPr>
        <w:t>PPA Background (for the distinction in Section 1)</w:t>
      </w:r>
    </w:p>
    <w:p>
      <w:pPr>
        <w:pStyle w:val="ListBullet"/>
      </w:pPr>
      <w:r>
        <w:rPr>
          <w:rFonts w:ascii="Arial" w:hAnsi="Arial"/>
          <w:sz w:val="22"/>
        </w:rPr>
        <w:t xml:space="preserve">renewabl.com — PPAs Explained: </w:t>
      </w:r>
      <w:hyperlink r:id="rId30">
        <w:r>
          <w:rPr>
            <w:color w:val="0563C1"/>
            <w:u w:val="single"/>
            <w:rFonts w:ascii="Arial" w:hAnsi="Arial"/>
            <w:sz w:val="18"/>
          </w:rPr>
          <w:t>renewabl.com guide</w:t>
        </w:r>
      </w:hyperlink>
    </w:p>
    <w:p>
      <w:pPr>
        <w:pStyle w:val="ListBullet"/>
      </w:pPr>
      <w:r>
        <w:rPr>
          <w:rFonts w:ascii="Arial" w:hAnsi="Arial"/>
          <w:sz w:val="22"/>
        </w:rPr>
        <w:t xml:space="preserve">EPA — Physical PPA explainer: </w:t>
      </w:r>
      <w:hyperlink r:id="rId31">
        <w:r>
          <w:rPr>
            <w:color w:val="0563C1"/>
            <w:u w:val="single"/>
            <w:rFonts w:ascii="Arial" w:hAnsi="Arial"/>
            <w:sz w:val="18"/>
          </w:rPr>
          <w:t>EPA PPA page</w:t>
        </w:r>
      </w:hyperlink>
    </w:p>
    <w:p>
      <w:pPr>
        <w:pStyle w:val="Heading2"/>
      </w:pPr>
      <w:r>
        <w:rPr>
          <w:rFonts w:ascii="Arial" w:hAnsi="Arial"/>
          <w:b/>
          <w:color w:val="E87B22"/>
          <w:sz w:val="26"/>
        </w:rPr>
        <w:t>Other Alex-Suggested Resources (for team context, not yet cited in this doc)</w:t>
      </w:r>
    </w:p>
    <w:p>
      <w:pPr>
        <w:pStyle w:val="ListBullet"/>
      </w:pPr>
      <w:r>
        <w:rPr>
          <w:rFonts w:ascii="Arial" w:hAnsi="Arial"/>
          <w:sz w:val="22"/>
        </w:rPr>
        <w:t xml:space="preserve">LBNL — transmission interconnection backlog easing in 2025: </w:t>
      </w:r>
      <w:hyperlink r:id="rId32">
        <w:r>
          <w:rPr>
            <w:color w:val="0563C1"/>
            <w:u w:val="single"/>
            <w:rFonts w:ascii="Arial" w:hAnsi="Arial"/>
            <w:sz w:val="18"/>
          </w:rPr>
          <w:t>LBNL article</w:t>
        </w:r>
      </w:hyperlink>
    </w:p>
    <w:p>
      <w:pPr>
        <w:pStyle w:val="ListBullet"/>
      </w:pPr>
      <w:r>
        <w:rPr>
          <w:rFonts w:ascii="Arial" w:hAnsi="Arial"/>
          <w:sz w:val="22"/>
        </w:rPr>
        <w:t xml:space="preserve">Sunlit Energy — Utility-Scale BESS Guide: </w:t>
      </w:r>
      <w:hyperlink r:id="rId33">
        <w:r>
          <w:rPr>
            <w:color w:val="0563C1"/>
            <w:u w:val="single"/>
            <w:rFonts w:ascii="Arial" w:hAnsi="Arial"/>
            <w:sz w:val="18"/>
          </w:rPr>
          <w:t>Sunlit Energy guide</w:t>
        </w:r>
      </w:hyperlink>
    </w:p>
    <w:p>
      <w:pPr>
        <w:pStyle w:val="ListBullet"/>
      </w:pPr>
      <w:r>
        <w:rPr>
          <w:rFonts w:ascii="Arial" w:hAnsi="Arial"/>
          <w:sz w:val="22"/>
        </w:rPr>
        <w:t xml:space="preserve">PV Magazine — Roadrunner Reserve (AZ utility-scale storage example): </w:t>
      </w:r>
      <w:hyperlink r:id="rId34">
        <w:r>
          <w:rPr>
            <w:color w:val="0563C1"/>
            <w:u w:val="single"/>
            <w:rFonts w:ascii="Arial" w:hAnsi="Arial"/>
            <w:sz w:val="18"/>
          </w:rPr>
          <w:t>PV Magazine article</w:t>
        </w:r>
      </w:hyperlink>
    </w:p>
    <w:p>
      <w:pPr>
        <w:pStyle w:val="ListBullet"/>
      </w:pPr>
      <w:r>
        <w:rPr>
          <w:rFonts w:ascii="Arial" w:hAnsi="Arial"/>
          <w:sz w:val="22"/>
        </w:rPr>
        <w:t xml:space="preserve">Solar Tech Online — Net Metering Guide: </w:t>
      </w:r>
      <w:hyperlink r:id="rId35">
        <w:r>
          <w:rPr>
            <w:color w:val="0563C1"/>
            <w:u w:val="single"/>
            <w:rFonts w:ascii="Arial" w:hAnsi="Arial"/>
            <w:sz w:val="18"/>
          </w:rPr>
          <w:t>Solar Tech Online guide</w:t>
        </w:r>
      </w:hyperlink>
    </w:p>
    <w:p>
      <w:pPr>
        <w:pStyle w:val="ListBullet"/>
      </w:pPr>
      <w:r>
        <w:rPr>
          <w:rFonts w:ascii="Arial" w:hAnsi="Arial"/>
          <w:sz w:val="22"/>
        </w:rPr>
        <w:t xml:space="preserve">ResLink — Solar tax credit qualification after the July 4 deadline: </w:t>
      </w:r>
      <w:hyperlink r:id="rId36">
        <w:r>
          <w:rPr>
            <w:color w:val="0563C1"/>
            <w:u w:val="single"/>
            <w:rFonts w:ascii="Arial" w:hAnsi="Arial"/>
            <w:sz w:val="18"/>
          </w:rPr>
          <w:t>ResLink article</w:t>
        </w:r>
      </w:hyperlink>
    </w:p>
    <w:p>
      <w:r>
        <w:br w:type="page"/>
      </w:r>
    </w:p>
    <w:p>
      <w:pPr>
        <w:pStyle w:val="Heading1"/>
      </w:pPr>
      <w:r>
        <w:rPr>
          <w:rFonts w:ascii="Arial" w:hAnsi="Arial"/>
          <w:b/>
          <w:color w:val="1B2A5E"/>
          <w:sz w:val="32"/>
        </w:rPr>
        <w:t>9. Cost Structure — Sourced Analysis (v5 Addition)</w:t>
      </w:r>
    </w:p>
    <w:p>
      <w:r>
        <w:rPr>
          <w:b/>
          <w:i w:val="0"/>
        </w:rPr>
        <w:t>A correction from this round of research: the DTE case number previously cited (U-20561) is DTE's 2020 rate case, NOT the 2022 case that reportedly rejected a residential battery pilot. The correct case number and MPSC's stated rationale could not be confirmed from primary sources in this research pass. DO NOT cite U-20561 in connection with the battery pilot rejection. This has been corrected on the presentation slide; flagged here for the written record.</w:t>
      </w:r>
    </w:p>
    <w:p>
      <w:pPr>
        <w:pStyle w:val="Heading2"/>
      </w:pPr>
      <w:r>
        <w:rPr>
          <w:rFonts w:ascii="Arial" w:hAnsi="Arial"/>
          <w:b/>
          <w:color w:val="E87B22"/>
          <w:sz w:val="26"/>
        </w:rPr>
        <w:t>What Real Programs Actually Charge — Verified vs. Unverified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Data Point</w:t>
            </w:r>
          </w:p>
        </w:tc>
        <w:tc>
          <w:tcPr>
            <w:tcW w:type="dxa" w:w="2880"/>
          </w:tcPr>
          <w:p>
            <w:r/>
            <w:r>
              <w:rPr>
                <w:b/>
              </w:rPr>
              <w:t>Status</w:t>
            </w:r>
          </w:p>
        </w:tc>
        <w:tc>
          <w:tcPr>
            <w:tcW w:type="dxa" w:w="2880"/>
          </w:tcPr>
          <w:p>
            <w:r/>
            <w:r>
              <w:rPr>
                <w:b/>
              </w:rPr>
              <w:t>Detail</w:t>
            </w:r>
          </w:p>
        </w:tc>
      </w:tr>
      <w:tr>
        <w:tc>
          <w:tcPr>
            <w:tcW w:type="dxa" w:w="2880"/>
          </w:tcPr>
          <w:p>
            <w:r>
              <w:t>GMP Powerwall customer price</w:t>
            </w:r>
          </w:p>
        </w:tc>
        <w:tc>
          <w:tcPr>
            <w:tcW w:type="dxa" w:w="2880"/>
          </w:tcPr>
          <w:p>
            <w:r>
              <w:t>VERIFIED</w:t>
            </w:r>
          </w:p>
        </w:tc>
        <w:tc>
          <w:tcPr>
            <w:tcW w:type="dxa" w:w="2880"/>
          </w:tcPr>
          <w:p>
            <w:r>
              <w:t>$55/month or $5,500 upfront for 2 Powerwalls</w:t>
            </w:r>
          </w:p>
        </w:tc>
      </w:tr>
      <w:tr>
        <w:tc>
          <w:tcPr>
            <w:tcW w:type="dxa" w:w="2880"/>
          </w:tcPr>
          <w:p>
            <w:r>
              <w:t>Retail Powerwall + install cost</w:t>
            </w:r>
          </w:p>
        </w:tc>
        <w:tc>
          <w:tcPr>
            <w:tcW w:type="dxa" w:w="2880"/>
          </w:tcPr>
          <w:p>
            <w:r>
              <w:t>VERIFIED (retail estimate)</w:t>
            </w:r>
          </w:p>
        </w:tc>
        <w:tc>
          <w:tcPr>
            <w:tcW w:type="dxa" w:w="2880"/>
          </w:tcPr>
          <w:p>
            <w:r>
              <w:t>~$8,200-9,300/unit hardware; $10,000-15,000/unit fully installed (consumer retail pricing, not utility procurement)</w:t>
            </w:r>
          </w:p>
        </w:tc>
      </w:tr>
      <w:tr>
        <w:tc>
          <w:tcPr>
            <w:tcW w:type="dxa" w:w="2880"/>
          </w:tcPr>
          <w:p>
            <w:r>
              <w:t>GMP cost-allocation split (customer vs. rate base)</w:t>
            </w:r>
          </w:p>
        </w:tc>
        <w:tc>
          <w:tcPr>
            <w:tcW w:type="dxa" w:w="2880"/>
          </w:tcPr>
          <w:p>
            <w:r>
              <w:t>UNVERIFIED</w:t>
            </w:r>
          </w:p>
        </w:tc>
        <w:tc>
          <w:tcPr>
            <w:tcW w:type="dxa" w:w="2880"/>
          </w:tcPr>
          <w:p>
            <w:r>
              <w:t>GMP's own language ("benefits all GMP customers") suggests rate-base cost-sharing, but the exact reconciliation was not found in an accessible primary tariff filing</w:t>
            </w:r>
          </w:p>
        </w:tc>
      </w:tr>
      <w:tr>
        <w:tc>
          <w:tcPr>
            <w:tcW w:type="dxa" w:w="2880"/>
          </w:tcPr>
          <w:p>
            <w:r>
              <w:t>Federal EECBG admin fee cap</w:t>
            </w:r>
          </w:p>
        </w:tc>
        <w:tc>
          <w:tcPr>
            <w:tcW w:type="dxa" w:w="2880"/>
          </w:tcPr>
          <w:p>
            <w:r>
              <w:t>VERIFIED</w:t>
            </w:r>
          </w:p>
        </w:tc>
        <w:tc>
          <w:tcPr>
            <w:tcW w:type="dxa" w:w="2880"/>
          </w:tcPr>
          <w:p>
            <w:r>
              <w:t>10% of program funds (or $75,000 floor for local governments) -- DOE program rule. This is a federal block-grant analog, not a utility DSM benchmark specifically</w:t>
            </w:r>
          </w:p>
        </w:tc>
      </w:tr>
      <w:tr>
        <w:tc>
          <w:tcPr>
            <w:tcW w:type="dxa" w:w="2880"/>
          </w:tcPr>
          <w:p>
            <w:r>
              <w:t>DSM industry "10-20% of budget" admin benchmark</w:t>
            </w:r>
          </w:p>
        </w:tc>
        <w:tc>
          <w:tcPr>
            <w:tcW w:type="dxa" w:w="2880"/>
          </w:tcPr>
          <w:p>
            <w:r>
              <w:t>UNVERIFIED</w:t>
            </w:r>
          </w:p>
        </w:tc>
        <w:tc>
          <w:tcPr>
            <w:tcW w:type="dxa" w:w="2880"/>
          </w:tcPr>
          <w:p>
            <w:r>
              <w:t>Commonly cited in the industry but could not be traced to a specific ACEEE/E4TheFuture document in this pass</w:t>
            </w:r>
          </w:p>
        </w:tc>
      </w:tr>
      <w:tr>
        <w:tc>
          <w:tcPr>
            <w:tcW w:type="dxa" w:w="2880"/>
          </w:tcPr>
          <w:p>
            <w:r>
              <w:t>APTIM's actual Focus on Energy fee ($ or %)</w:t>
            </w:r>
          </w:p>
        </w:tc>
        <w:tc>
          <w:tcPr>
            <w:tcW w:type="dxa" w:w="2880"/>
          </w:tcPr>
          <w:p>
            <w:r>
              <w:t>NOT PUBLICLY DISCLOSED</w:t>
            </w:r>
          </w:p>
        </w:tc>
        <w:tc>
          <w:tcPr>
            <w:tcW w:type="dxa" w:w="2880"/>
          </w:tcPr>
          <w:p>
            <w:r>
              <w:t>Confirmed: the 2023-2026 SEERA-APTIM contract includes a performance-bonus mechanism (customer satisfaction, income-qualified participation, spending equity, savings goals). The base fee amount is not public in any source found.</w:t>
            </w:r>
          </w:p>
        </w:tc>
      </w:tr>
      <w:tr>
        <w:tc>
          <w:tcPr>
            <w:tcW w:type="dxa" w:w="2880"/>
          </w:tcPr>
          <w:p>
            <w:r>
              <w:t>Hawaiian Electric BYOD Plus incentive</w:t>
            </w:r>
          </w:p>
        </w:tc>
        <w:tc>
          <w:tcPr>
            <w:tcW w:type="dxa" w:w="2880"/>
          </w:tcPr>
          <w:p>
            <w:r>
              <w:t>VERIFIED</w:t>
            </w:r>
          </w:p>
        </w:tc>
        <w:tc>
          <w:tcPr>
            <w:tcW w:type="dxa" w:w="2880"/>
          </w:tcPr>
          <w:p>
            <w:r>
              <w:t>$400/kW + $400/kW low-income adder, uncapped, 5-year minimum commitment</w:t>
            </w:r>
          </w:p>
        </w:tc>
      </w:tr>
      <w:tr>
        <w:tc>
          <w:tcPr>
            <w:tcW w:type="dxa" w:w="2880"/>
          </w:tcPr>
          <w:p>
            <w:r>
              <w:t>HECO cost-recovery mechanism for BYOD Plus</w:t>
            </w:r>
          </w:p>
        </w:tc>
        <w:tc>
          <w:tcPr>
            <w:tcW w:type="dxa" w:w="2880"/>
          </w:tcPr>
          <w:p>
            <w:r>
              <w:t>UNVERIFIED</w:t>
            </w:r>
          </w:p>
        </w:tc>
        <w:tc>
          <w:tcPr>
            <w:tcW w:type="dxa" w:w="2880"/>
          </w:tcPr>
          <w:p>
            <w:r>
              <w:t>Not found -- useful only as a $/kW benchmark, not as a utility-owned-asset cost-recovery comparable</w:t>
            </w:r>
          </w:p>
        </w:tc>
      </w:tr>
      <w:tr>
        <w:tc>
          <w:tcPr>
            <w:tcW w:type="dxa" w:w="2880"/>
          </w:tcPr>
          <w:p>
            <w:r>
              <w:t>MPSC Case U-21653 cost-recovery mechanics</w:t>
            </w:r>
          </w:p>
        </w:tc>
        <w:tc>
          <w:tcPr>
            <w:tcW w:type="dxa" w:w="2880"/>
          </w:tcPr>
          <w:p>
            <w:r>
              <w:t>UNVERIFIED</w:t>
            </w:r>
          </w:p>
        </w:tc>
        <w:tc>
          <w:tcPr>
            <w:tcW w:type="dxa" w:w="2880"/>
          </w:tcPr>
          <w:p>
            <w:r>
              <w:t>Confirms an expedited 90-day APPROVAL process for pilots (DER integration is an eligible category), but does not confirm HOW costs are recovered (rider vs. rate-case true-up) -- this is a distinct, unanswered question</w:t>
            </w:r>
          </w:p>
        </w:tc>
      </w:tr>
    </w:tbl>
    <w:p/>
    <w:p>
      <w:pPr>
        <w:pStyle w:val="Heading2"/>
      </w:pPr>
      <w:r>
        <w:rPr>
          <w:rFonts w:ascii="Arial" w:hAnsi="Arial"/>
          <w:b/>
          <w:color w:val="E87B22"/>
          <w:sz w:val="26"/>
        </w:rPr>
        <w:t>Recommended Cost Structure for the Pitch</w:t>
      </w:r>
    </w:p>
    <w:p>
      <w:r>
        <w:rPr>
          <w:b/>
          <w:i w:val="0"/>
        </w:rPr>
        <w:t>Hybrid model: base administration fee as a percentage of program budget, plus a performance-bonus overlay.</w:t>
      </w:r>
    </w:p>
    <w:p>
      <w:pPr>
        <w:pStyle w:val="ListBullet"/>
      </w:pPr>
      <w:r>
        <w:t>This is not a hypothetical structure — it mirrors APTIM's actual, real, currently-active Focus on Energy contract (2023-2026), which uses exactly this architecture: a base administrative role plus bonus payments tied to measurable KPIs.</w:t>
      </w:r>
    </w:p>
    <w:p>
      <w:pPr>
        <w:pStyle w:val="ListBullet"/>
      </w:pPr>
      <w:r>
        <w:t>The federal EECBG 10% cap is a citable, defensible floor reference for the base fee percentage — not a claim that this is what APTIM charges, but a legitimate industry benchmark to anchor the conversation.</w:t>
      </w:r>
    </w:p>
    <w:p>
      <w:pPr>
        <w:pStyle w:val="ListBullet"/>
      </w:pPr>
      <w:r>
        <w:t>The performance bonus would be tied to fleet uptime/dispatch reliability — a novel application of the SEERA-style bonus mechanism to a battery fleet specifically. This is a reasonable, source-grounded proposal, but it should be presented as a proposed design, not an existing precedent for battery programs.</w:t>
      </w:r>
    </w:p>
    <w:p>
      <w:pPr>
        <w:pStyle w:val="ListBullet"/>
      </w:pPr>
      <w:r>
        <w:t>The exact percentage is intentionally NOT fixed in this pitch — it would be proposed and negotiated at the RFP stage, consistent with how real utility program administration contracts are actually procured.</w:t>
      </w:r>
    </w:p>
    <w:p>
      <w:pPr>
        <w:pStyle w:val="Heading2"/>
      </w:pPr>
      <w:r>
        <w:rPr>
          <w:rFonts w:ascii="Arial" w:hAnsi="Arial"/>
          <w:b/>
          <w:color w:val="E87B22"/>
          <w:sz w:val="26"/>
        </w:rPr>
        <w:t>What This Means for the "Legalities + How Successful Programs Operate" Question</w:t>
      </w:r>
    </w:p>
    <w:p>
      <w:pPr>
        <w:pStyle w:val="ListBullet"/>
      </w:pPr>
      <w:r>
        <w:t>Legally, the cost recovery for the underlying battery/solar capital sits with the utility via rate base (Section 1) — that mechanism is well-established (GMP, Liberty NH precedent, Michigan's own March 2026 utility-scale battery approvals).</w:t>
      </w:r>
    </w:p>
    <w:p>
      <w:pPr>
        <w:pStyle w:val="ListBullet"/>
      </w:pPr>
      <w:r>
        <w:t>What is NOT yet settled is the specific MPSC docket mechanism for recovering costs of a NEW pilot program category under the U-21653 framework — this needs direct verification against the actual order text before the team commits to a specific recovery mechanism (rider vs. deferred accounting vs. rate-case true-up) in the pitch.</w:t>
      </w:r>
    </w:p>
    <w:p>
      <w:pPr>
        <w:pStyle w:val="ListBullet"/>
      </w:pPr>
      <w:r>
        <w:t>Recommendation: present the recovery mechanism as "to be structured through the U-21653 pilot filing process, following the pattern of rider-based or deferred-accounting recovery common to other MPSC-approved pilots" — defensible and honest without overclaiming a specific mechanism we haven't confirmed.</w:t>
      </w:r>
    </w:p>
    <w:p>
      <w:pPr>
        <w:pStyle w:val="Heading2"/>
      </w:pPr>
      <w:r>
        <w:rPr>
          <w:rFonts w:ascii="Arial" w:hAnsi="Arial"/>
          <w:b/>
          <w:color w:val="E87B22"/>
          <w:sz w:val="26"/>
        </w:rPr>
        <w:t>Updated QC Checklist Items (Add to Section 7)</w:t>
      </w:r>
    </w:p>
    <w:p>
      <w:pPr>
        <w:pStyle w:val="ListBullet"/>
      </w:pPr>
      <w:r>
        <w:t>MUST VERIFY: The correct MPSC case number for DTE's residential battery pilot rejection (NOT U-20561) and the Commission's actual stated rationale — pull directly from MPSC's ADMS document system (adms.apps.lara.state.mi.us) via browser, not automated fetch tools which were blocked.</w:t>
      </w:r>
    </w:p>
    <w:p>
      <w:pPr>
        <w:pStyle w:val="ListBullet"/>
      </w:pPr>
      <w:r>
        <w:t>MUST VERIFY: MPSC Case U-21653's actual cost-recovery mechanism for approved pilots (rider vs. deferred accounting vs. rate-case true-up) — the order approves an expedited APPROVAL process; it does not by itself confirm HOW costs are recovered.</w:t>
      </w:r>
    </w:p>
    <w:p>
      <w:pPr>
        <w:pStyle w:val="ListBullet"/>
      </w:pPr>
      <w:r>
        <w:t>SHOULD VERIFY: GMP's primary tariff filing for the exact capital-cost-vs-customer-payment reconciliation, if the team wants to cite a specific ratepayer/customer cost split rather than describing it qualitatively.</w:t>
      </w:r>
    </w:p>
    <w:p>
      <w:pPr>
        <w:pStyle w:val="ListBullet"/>
      </w:pPr>
      <w:r>
        <w:t>SHOULD VERIFY: The ACEEE "Cost of Saving Electricity" report, pulled directly, for any explicit administrative-cost-percentage figure, if the team wants a firmer benchmark than the federal EECBG 10% cap.</w:t>
      </w:r>
    </w:p>
    <w:p>
      <w:r>
        <w:br w:type="page"/>
      </w:r>
    </w:p>
    <w:p>
      <w:pPr>
        <w:pStyle w:val="Heading1"/>
      </w:pPr>
      <w:r>
        <w:rPr>
          <w:rFonts w:ascii="Arial" w:hAnsi="Arial"/>
          <w:b/>
          <w:color w:val="1B2A5E"/>
          <w:sz w:val="32"/>
        </w:rPr>
        <w:t>10. Update: Scope Clarification, Design Considerations, and Confirmed DTE Figures (v6)</w:t>
      </w:r>
    </w:p>
    <w:p>
      <w:r>
        <w:rPr>
          <w:b w:val="0"/>
          <w:i/>
        </w:rPr>
        <w:t>This section consolidates findings and decisions from the primary-source DTE IRP review (Case No. U-21193, Exhibit A-3.1) and subsequent discussion. It replaces prior unverified figures and adds design/targeting details reflected on the Prioritization Framework and Service Concept slides.</w:t>
      </w:r>
    </w:p>
    <w:p>
      <w:pPr>
        <w:pStyle w:val="Heading2"/>
      </w:pPr>
      <w:r>
        <w:rPr>
          <w:rFonts w:ascii="Arial" w:hAnsi="Arial"/>
          <w:b/>
          <w:color w:val="E87B22"/>
          <w:sz w:val="26"/>
        </w:rPr>
        <w:t>10.1 Confirmed DTE Storage Figures — Replaces the "850+ MW" Estimate</w:t>
      </w:r>
    </w:p>
    <w:p>
      <w:r>
        <w:rPr>
          <w:b/>
          <w:i w:val="0"/>
        </w:rPr>
        <w:t>The 850+ MW figure previously used could not be traced to any DTE document and should not be used. From DTE's actual 2022 IRP filing (Case No. U-21193):</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Period</w:t>
            </w:r>
          </w:p>
        </w:tc>
        <w:tc>
          <w:tcPr>
            <w:tcW w:type="dxa" w:w="4320"/>
          </w:tcPr>
          <w:p>
            <w:r/>
            <w:r>
              <w:rPr>
                <w:b/>
              </w:rPr>
              <w:t>Storage Additions</w:t>
            </w:r>
          </w:p>
        </w:tc>
      </w:tr>
      <w:tr>
        <w:tc>
          <w:tcPr>
            <w:tcW w:type="dxa" w:w="4320"/>
          </w:tcPr>
          <w:p>
            <w:r>
              <w:t>2023-2027</w:t>
            </w:r>
          </w:p>
        </w:tc>
        <w:tc>
          <w:tcPr>
            <w:tcW w:type="dxa" w:w="4320"/>
          </w:tcPr>
          <w:p>
            <w:r>
              <w:t>240 MW</w:t>
            </w:r>
          </w:p>
        </w:tc>
      </w:tr>
      <w:tr>
        <w:tc>
          <w:tcPr>
            <w:tcW w:type="dxa" w:w="4320"/>
          </w:tcPr>
          <w:p>
            <w:r>
              <w:t>2028-2032</w:t>
            </w:r>
          </w:p>
        </w:tc>
        <w:tc>
          <w:tcPr>
            <w:tcW w:type="dxa" w:w="4320"/>
          </w:tcPr>
          <w:p>
            <w:r>
              <w:t>520 MW</w:t>
            </w:r>
          </w:p>
        </w:tc>
      </w:tr>
      <w:tr>
        <w:tc>
          <w:tcPr>
            <w:tcW w:type="dxa" w:w="4320"/>
          </w:tcPr>
          <w:p>
            <w:r>
              <w:t>Total by 2032</w:t>
            </w:r>
          </w:p>
        </w:tc>
        <w:tc>
          <w:tcPr>
            <w:tcW w:type="dxa" w:w="4320"/>
          </w:tcPr>
          <w:p>
            <w:r>
              <w:t>760 MW</w:t>
            </w:r>
          </w:p>
        </w:tc>
      </w:tr>
      <w:tr>
        <w:tc>
          <w:tcPr>
            <w:tcW w:type="dxa" w:w="4320"/>
          </w:tcPr>
          <w:p>
            <w:r>
              <w:t>2033-2042</w:t>
            </w:r>
          </w:p>
        </w:tc>
        <w:tc>
          <w:tcPr>
            <w:tcW w:type="dxa" w:w="4320"/>
          </w:tcPr>
          <w:p>
            <w:r>
              <w:t>1,050 MW</w:t>
            </w:r>
          </w:p>
        </w:tc>
      </w:tr>
      <w:tr>
        <w:tc>
          <w:tcPr>
            <w:tcW w:type="dxa" w:w="4320"/>
          </w:tcPr>
          <w:p>
            <w:r>
              <w:t>Total new by 2042</w:t>
            </w:r>
          </w:p>
        </w:tc>
        <w:tc>
          <w:tcPr>
            <w:tcW w:type="dxa" w:w="4320"/>
          </w:tcPr>
          <w:p>
            <w:r>
              <w:t>1,810 MW</w:t>
            </w:r>
          </w:p>
        </w:tc>
      </w:tr>
      <w:tr>
        <w:tc>
          <w:tcPr>
            <w:tcW w:type="dxa" w:w="4320"/>
          </w:tcPr>
          <w:p>
            <w:r>
              <w:t>Grand total by 2042 (incl. existing 1,120 MW Ludington pumped hydro)</w:t>
            </w:r>
          </w:p>
        </w:tc>
        <w:tc>
          <w:tcPr>
            <w:tcW w:type="dxa" w:w="4320"/>
          </w:tcPr>
          <w:p>
            <w:r>
              <w:t>2,900 MW</w:t>
            </w:r>
          </w:p>
        </w:tc>
      </w:tr>
    </w:tbl>
    <w:p/>
    <w:p>
      <w:r>
        <w:rPr>
          <w:b w:val="0"/>
          <w:i w:val="0"/>
        </w:rPr>
        <w:t>Use 760 MW by 2032 for the near-term figure and 1,810 MW new / 2,900 MW total by 2042 for the long-range figure. Both are now primary-sourced.</w:t>
      </w:r>
    </w:p>
    <w:p>
      <w:pPr>
        <w:pStyle w:val="Heading2"/>
      </w:pPr>
      <w:r>
        <w:rPr>
          <w:rFonts w:ascii="Arial" w:hAnsi="Arial"/>
          <w:b/>
          <w:color w:val="E87B22"/>
          <w:sz w:val="26"/>
        </w:rPr>
        <w:t>10.2 Scope Clarification: Distribution Resilience, Not Generation Replacement</w:t>
      </w:r>
    </w:p>
    <w:p>
      <w:r>
        <w:rPr>
          <w:b/>
          <w:i w:val="0"/>
        </w:rPr>
        <w:t>DTE's IRP storage buildout exists to replace Monroe Power Plant -- described in DTE's own filing as the fourth-largest coal plant in the US -- a decade-long, multi-billion-dollar generation transition. Our program is NOT part of that story and should not be pitched as if it were.</w:t>
      </w:r>
    </w:p>
    <w:p>
      <w:pPr>
        <w:pStyle w:val="ListBullet"/>
      </w:pPr>
      <w:r>
        <w:t>Our program is a distribution-level resilience investment, addressing outage backup at the neighborhood level -- a category DTE's own IRP does not cover (the IRP's demand response program list is thermostats and industrial interruptible rates; no residential battery/solar component appears anywhere in the 145-page filing).</w:t>
      </w:r>
    </w:p>
    <w:p>
      <w:pPr>
        <w:pStyle w:val="ListBullet"/>
      </w:pPr>
      <w:r>
        <w:t>This fits inside DTE's existing, separate $1B/year Distribution Grid Plan commitment (cited in the IRP itself) to "better detect, prevent and manage customer outages" -- our program is a new tool within a commitment DTE has already made publicly, not a competing ask against the coal-replacement plan.</w:t>
      </w:r>
    </w:p>
    <w:p>
      <w:pPr>
        <w:pStyle w:val="ListBullet"/>
      </w:pPr>
      <w:r>
        <w:t>Keeping the pitch anchored to funding uncertainty (the prompt) rather than generation strategy avoids inviting comparison to DTE's much larger, higher-stakes coal transition -- and may partly explain why DTE's 2022 residential battery pilot got rejected: it was a small ask evaluated inside an enormous, high-scrutiny rate case.</w:t>
      </w:r>
    </w:p>
    <w:p>
      <w:pPr>
        <w:pStyle w:val="Heading2"/>
      </w:pPr>
      <w:r>
        <w:rPr>
          <w:rFonts w:ascii="Arial" w:hAnsi="Arial"/>
          <w:b/>
          <w:color w:val="E87B22"/>
          <w:sz w:val="26"/>
        </w:rPr>
        <w:t>10.3 Why All Parties Say Yes (Expanded)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Party</w:t>
            </w:r>
          </w:p>
        </w:tc>
        <w:tc>
          <w:tcPr>
            <w:tcW w:type="dxa" w:w="4320"/>
          </w:tcPr>
          <w:p>
            <w:r/>
            <w:r>
              <w:rPr>
                <w:b/>
              </w:rPr>
              <w:t>Incentive</w:t>
            </w:r>
          </w:p>
        </w:tc>
      </w:tr>
      <w:tr>
        <w:tc>
          <w:tcPr>
            <w:tcW w:type="dxa" w:w="4320"/>
          </w:tcPr>
          <w:p>
            <w:r>
              <w:t>Utility (DTE)</w:t>
            </w:r>
          </w:p>
        </w:tc>
        <w:tc>
          <w:tcPr>
            <w:tcW w:type="dxa" w:w="4320"/>
          </w:tcPr>
          <w:p>
            <w:r>
              <w:t>Avoided capacity cost (cheaper than a new peaker plant); grows rate base (how utilities earn returns); meets PA 235 storage mandate; regulatory goodwill during an actively critical rate-case climate (MI Attorney General has intervened repeatedly against DTE/Consumers rate requests)</w:t>
            </w:r>
          </w:p>
        </w:tc>
      </w:tr>
      <w:tr>
        <w:tc>
          <w:tcPr>
            <w:tcW w:type="dxa" w:w="4320"/>
          </w:tcPr>
          <w:p>
            <w:r>
              <w:t>Household (host)</w:t>
            </w:r>
          </w:p>
        </w:tc>
        <w:tc>
          <w:tcPr>
            <w:tcW w:type="dxa" w:w="4320"/>
          </w:tcPr>
          <w:p>
            <w:r>
              <w:t>Free backup power and lower bills; zero upfront cost, zero monthly cost, zero maintenance responsibility, no credit check or loan</w:t>
            </w:r>
          </w:p>
        </w:tc>
      </w:tr>
      <w:tr>
        <w:tc>
          <w:tcPr>
            <w:tcW w:type="dxa" w:w="4320"/>
          </w:tcPr>
          <w:p>
            <w:r>
              <w:t>APTIM</w:t>
            </w:r>
          </w:p>
        </w:tc>
        <w:tc>
          <w:tcPr>
            <w:tcW w:type="dxa" w:w="4320"/>
          </w:tcPr>
          <w:p>
            <w:r>
              <w:t>Recurring administration fee (base % + performance bonus); Michigan market entry (no confirmed existing footprint); fills a real gap -- no company today administers utility-owned residential fleets end-to-end</w:t>
            </w:r>
          </w:p>
        </w:tc>
      </w:tr>
      <w:tr>
        <w:tc>
          <w:tcPr>
            <w:tcW w:type="dxa" w:w="4320"/>
          </w:tcPr>
          <w:p>
            <w:r>
              <w:t>Regulator (MPSC)</w:t>
            </w:r>
          </w:p>
        </w:tc>
        <w:tc>
          <w:tcPr>
            <w:tcW w:type="dxa" w:w="4320"/>
          </w:tcPr>
          <w:p>
            <w:r>
              <w:t>Resilience delivered to ratepayers without a new tax or appropriation; a performance-linked APTIM fee keeps the utility accountable for actual fleet performance, not just installation</w:t>
            </w:r>
          </w:p>
        </w:tc>
      </w:tr>
    </w:tbl>
    <w:p/>
    <w:p>
      <w:r>
        <w:rPr>
          <w:b w:val="0"/>
          <w:i w:val="0"/>
        </w:rPr>
        <w:t>Key framing: this is not new money being spent. It is the same capital DTE would otherwise spend on a peaker plant or substation, redirected into a distributed asset that also benefits the hosting household directly.</w:t>
      </w:r>
    </w:p>
    <w:p>
      <w:pPr>
        <w:pStyle w:val="Heading2"/>
      </w:pPr>
      <w:r>
        <w:rPr>
          <w:rFonts w:ascii="Arial" w:hAnsi="Arial"/>
          <w:b/>
          <w:color w:val="E87B22"/>
          <w:sz w:val="26"/>
        </w:rPr>
        <w:t>10.4 Pilot Targeting: Sequencing, Not Exclusion</w:t>
      </w:r>
    </w:p>
    <w:p>
      <w:r>
        <w:rPr>
          <w:b/>
          <w:i w:val="0"/>
        </w:rPr>
        <w:t>A valid concern was raised: a pilot should not launch in a lower-income area first. This is standard pilot design practice, not a departure from the resilience/equity thesis -- it is correct sequencing.</w:t>
      </w:r>
    </w:p>
    <w:p>
      <w:pPr>
        <w:pStyle w:val="ListBullet"/>
      </w:pPr>
      <w:r>
        <w:t>Phase 1 (Pilot): Target stable, qualifying homeowners -- owner-occupied, suitable roof condition, minimal shading, long-term residency likelihood (already APTIM's stated customer-selection criteria in the Michigan assumptions log). This minimizes execution risk (fewer install complications, higher completion rates, cleaner performance data) and produces the operational learning DTE needs before scaling.</w:t>
      </w:r>
    </w:p>
    <w:p>
      <w:pPr>
        <w:pStyle w:val="ListBullet"/>
      </w:pPr>
      <w:r>
        <w:t>Phase 2 (Scale): Once validated, expand into higher-need areas -- including lower-income and highest-outage neighborhoods -- backed by a proven track record rather than an untested pitch. This is a MORE defensible regulatory argument than testing directly on vulnerable populations: "we proved this works before deploying it to the households that need it most."</w:t>
      </w:r>
    </w:p>
    <w:p>
      <w:pPr>
        <w:pStyle w:val="ListBullet"/>
      </w:pPr>
      <w:r>
        <w:t>This sequencing also matches DTE's own stated pilot objective from the Michigan assumptions log: "creates operational learning prior to large-scale rollout."</w:t>
      </w:r>
    </w:p>
    <w:p>
      <w:pPr>
        <w:pStyle w:val="Heading2"/>
      </w:pPr>
      <w:r>
        <w:rPr>
          <w:rFonts w:ascii="Arial" w:hAnsi="Arial"/>
          <w:b/>
          <w:color w:val="E87B22"/>
          <w:sz w:val="26"/>
        </w:rPr>
        <w:t>10.5 Cold-Weather Battery Performance — Design Response</w:t>
      </w:r>
    </w:p>
    <w:p>
      <w:r>
        <w:rPr>
          <w:b/>
          <w:i w:val="0"/>
        </w:rPr>
        <w:t>A real concern: lithium-ion cells can lose 50-80% of capacity in sub-freezing temperatures, and Michigan's worst outages are winter, ice-storm-driven events.</w:t>
      </w:r>
    </w:p>
    <w:p>
      <w:pPr>
        <w:pStyle w:val="ListBullet"/>
      </w:pPr>
      <w:r>
        <w:t>The severe degradation figures describe BARE cells with no thermal management -- not the hardware this program would deploy. Products like Tesla Powerwall include active internal thermal management (small heaters) and are rated for operation down to -4F (-20C).</w:t>
      </w:r>
    </w:p>
    <w:p>
      <w:pPr>
        <w:pStyle w:val="ListBullet"/>
      </w:pPr>
      <w:r>
        <w:t>Design response, stated explicitly rather than assumed: (1) specify cold-climate-rated battery chemistry with active thermal management, (2) size the system with a winter capacity buffer so the worst-case derated capacity still meets the backup-power commitment, (3) reserve a fixed "resilience floor" of capacity not touched by daily dispatch cycling, so it is guaranteed available when a storm hits.</w:t>
      </w:r>
    </w:p>
    <w:p>
      <w:pPr>
        <w:pStyle w:val="ListBullet"/>
      </w:pPr>
      <w:r>
        <w:t>Framing for the pitch: this is a design feature, explicitly engineered for the season Michigan's outages actually occur in -- not a gap glossed over.</w:t>
      </w:r>
    </w:p>
    <w:p>
      <w:pPr>
        <w:pStyle w:val="Heading2"/>
      </w:pPr>
      <w:r>
        <w:rPr>
          <w:rFonts w:ascii="Arial" w:hAnsi="Arial"/>
          <w:b/>
          <w:color w:val="E87B22"/>
          <w:sz w:val="26"/>
        </w:rPr>
        <w:t>10.6 Ownership Model — Restated as Settled</w:t>
      </w:r>
    </w:p>
    <w:p>
      <w:r>
        <w:rPr>
          <w:b w:val="0"/>
          <w:i w:val="0"/>
        </w:rPr>
        <w:t>The utility owns the battery + solar fleet. The household only hosts it. This was decided early in the research (see Section 1) after confirming that any customer-paid model -- including subsidized leases like Green Mountain Power's $55/month -- fails for the demographic this program should ultimately serve. A homeowner-financed/loan alternative was evaluated at the group's request and rejected: the math does not work for an average-usage Michigan household (loan payment ~$310/month on a $34,500 system vs. an average bill of ~$130/month), and pursuing it would reintroduce the credit/upfront-cost barrier the utility-owned model was designed to eliminate, while moving APTIM into an already-crowded homeowner-financed solar market instead of the empty utility-owned-administration niche.</w:t>
      </w:r>
    </w:p>
    <w:p/>
    <w:p>
      <w:r>
        <w:rPr>
          <w:i/>
          <w:sz w:val="18"/>
        </w:rPr>
        <w:t>Primary source added this round: DTE Electric 2022 Integrated Resource Plan, Case No. U-21193, Exhibit A-3.1 (Executive Summary, pages 1-26).</w:t>
      </w:r>
    </w:p>
    <w:p>
      <w:r>
        <w:br w:type="page"/>
      </w:r>
    </w:p>
    <w:p>
      <w:pPr>
        <w:pStyle w:val="Heading1"/>
      </w:pPr>
      <w:r>
        <w:rPr>
          <w:rFonts w:ascii="Arial" w:hAnsi="Arial"/>
          <w:b/>
          <w:color w:val="002856"/>
          <w:sz w:val="32"/>
        </w:rPr>
        <w:t>11. v7 Update — Deck Alignment: Market Sizing, Competitive Frame, and Open Reconciliation</w:t>
      </w:r>
    </w:p>
    <w:p>
      <w:r>
        <w:rPr>
          <w:b w:val="0"/>
          <w:i/>
        </w:rPr>
        <w:t>Added July 2026. This section brings the doc current with the final presentation deck so the two tell the same story. Everything here is already on slides; this is the citable backup.</w:t>
      </w:r>
    </w:p>
    <w:p>
      <w:pPr>
        <w:pStyle w:val="Heading2"/>
      </w:pPr>
      <w:r>
        <w:rPr>
          <w:rFonts w:ascii="Arial" w:hAnsi="Arial"/>
          <w:b/>
          <w:color w:val="FF8200"/>
          <w:sz w:val="26"/>
        </w:rPr>
        <w:t>11.1 Market Sizing (Slides 7-8)</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Tier</w:t>
            </w:r>
          </w:p>
        </w:tc>
        <w:tc>
          <w:tcPr>
            <w:tcW w:type="dxa" w:w="2160"/>
          </w:tcPr>
          <w:p>
            <w:r/>
            <w:r>
              <w:rPr>
                <w:b/>
              </w:rPr>
              <w:t>Figure</w:t>
            </w:r>
          </w:p>
        </w:tc>
        <w:tc>
          <w:tcPr>
            <w:tcW w:type="dxa" w:w="2160"/>
          </w:tcPr>
          <w:p>
            <w:r/>
            <w:r>
              <w:rPr>
                <w:b/>
              </w:rPr>
              <w:t>Basis</w:t>
            </w:r>
          </w:p>
        </w:tc>
        <w:tc>
          <w:tcPr>
            <w:tcW w:type="dxa" w:w="2160"/>
          </w:tcPr>
          <w:p>
            <w:r/>
            <w:r>
              <w:rPr>
                <w:b/>
              </w:rPr>
              <w:t>Status</w:t>
            </w:r>
          </w:p>
        </w:tc>
      </w:tr>
      <w:tr>
        <w:tc>
          <w:tcPr>
            <w:tcW w:type="dxa" w:w="2160"/>
          </w:tcPr>
          <w:p>
            <w:r>
              <w:t>TAM</w:t>
            </w:r>
          </w:p>
        </w:tc>
        <w:tc>
          <w:tcPr>
            <w:tcW w:type="dxa" w:w="2160"/>
          </w:tcPr>
          <w:p>
            <w:r>
              <w:t>$8.8B</w:t>
            </w:r>
          </w:p>
        </w:tc>
        <w:tc>
          <w:tcPr>
            <w:tcW w:type="dxa" w:w="2160"/>
          </w:tcPr>
          <w:p>
            <w:r>
              <w:t>IRA HOMES/HEAR total allocation as proxy for national program-administration demand (frozen Jan 2025 -- which IS the funding-uncertainty story)</w:t>
            </w:r>
          </w:p>
        </w:tc>
        <w:tc>
          <w:tcPr>
            <w:tcW w:type="dxa" w:w="2160"/>
          </w:tcPr>
          <w:p>
            <w:r>
              <w:t>Sourced (statute); proxy framing is our own choice -- say so if asked</w:t>
            </w:r>
          </w:p>
        </w:tc>
      </w:tr>
      <w:tr>
        <w:tc>
          <w:tcPr>
            <w:tcW w:type="dxa" w:w="2160"/>
          </w:tcPr>
          <w:p>
            <w:r>
              <w:t>SAM</w:t>
            </w:r>
          </w:p>
        </w:tc>
        <w:tc>
          <w:tcPr>
            <w:tcW w:type="dxa" w:w="2160"/>
          </w:tcPr>
          <w:p>
            <w:r>
              <w:t>~$1-2B</w:t>
            </w:r>
          </w:p>
        </w:tc>
        <w:tc>
          <w:tcPr>
            <w:tcW w:type="dxa" w:w="2160"/>
          </w:tcPr>
          <w:p>
            <w:r>
              <w:t>States with storage mandates + vertically integrated utilities</w:t>
            </w:r>
          </w:p>
        </w:tc>
        <w:tc>
          <w:tcPr>
            <w:tcW w:type="dxa" w:w="2160"/>
          </w:tcPr>
          <w:p>
            <w:r>
              <w:t>ESTIMATE -- our own narrowing, not an external figure. Flag as internal estimate</w:t>
            </w:r>
          </w:p>
        </w:tc>
      </w:tr>
      <w:tr>
        <w:tc>
          <w:tcPr>
            <w:tcW w:type="dxa" w:w="2160"/>
          </w:tcPr>
          <w:p>
            <w:r>
              <w:t>SOM</w:t>
            </w:r>
          </w:p>
        </w:tc>
        <w:tc>
          <w:tcPr>
            <w:tcW w:type="dxa" w:w="2160"/>
          </w:tcPr>
          <w:p>
            <w:r>
              <w:t>$1.5-4.5M/yr</w:t>
            </w:r>
          </w:p>
        </w:tc>
        <w:tc>
          <w:tcPr>
            <w:tcW w:type="dxa" w:w="2160"/>
          </w:tcPr>
          <w:p>
            <w:r>
              <w:t>APTIM administration fees, Michigan pilot + early expansion, Years 1-3</w:t>
            </w:r>
          </w:p>
        </w:tc>
        <w:tc>
          <w:tcPr>
            <w:tcW w:type="dxa" w:w="2160"/>
          </w:tcPr>
          <w:p>
            <w:r>
              <w:t>Derived from EECBG 10% admin benchmark applied to pilot-scale budgets</w:t>
            </w:r>
          </w:p>
        </w:tc>
      </w:tr>
    </w:tbl>
    <w:p/>
    <w:p>
      <w:r>
        <w:rPr>
          <w:b w:val="0"/>
          <w:i w:val="0"/>
        </w:rPr>
        <w:t>Funding-uncertainty anchors used on Slide 7 (all sourced in the research notes): $8.8B rebate freeze (Jan 2025), 25C/25D elimination (Dec 31, 2025), 26 states + DC with EERS mandates, Duke NC program withdrawals, Louisiana ending its 2026 program, California's $290M pause.</w:t>
      </w:r>
    </w:p>
    <w:p>
      <w:pPr>
        <w:pStyle w:val="Heading2"/>
      </w:pPr>
      <w:r>
        <w:rPr>
          <w:rFonts w:ascii="Arial" w:hAnsi="Arial"/>
          <w:b/>
          <w:color w:val="FF8200"/>
          <w:sz w:val="26"/>
        </w:rPr>
        <w:t>11.2 Competitive Frame — "The Empty Seat" (Slide 12)</w:t>
      </w:r>
    </w:p>
    <w:p>
      <w:r>
        <w:rPr>
          <w:b w:val="0"/>
          <w:i w:val="0"/>
        </w:rPr>
        <w:t>The deck now argues position, not features: on a map of program-administration depth vs. residential fleet operations, the top-right quadrant (deep admin + fleet operations on utility-owned assets) is empty.</w:t>
      </w:r>
    </w:p>
    <w:p>
      <w:pPr>
        <w:pStyle w:val="ListBullet"/>
      </w:pPr>
      <w:r>
        <w:t>CLEAResult / ICF / Franklin Energy: deep administration, customer-owned (BYOD) devices only</w:t>
      </w:r>
    </w:p>
    <w:p>
      <w:pPr>
        <w:pStyle w:val="ListBullet"/>
      </w:pPr>
      <w:r>
        <w:t>Stantec: engineering/EPC, no residential program operations</w:t>
      </w:r>
    </w:p>
    <w:p>
      <w:pPr>
        <w:pStyle w:val="ListBullet"/>
      </w:pPr>
      <w:r>
        <w:t>Tesla / EnergyHub: software and dispatch, no field administration</w:t>
      </w:r>
    </w:p>
    <w:p>
      <w:pPr>
        <w:pStyle w:val="ListBullet"/>
      </w:pPr>
      <w:r>
        <w:t>Sunrun: owns fleets but is a competing procurement model, concentrated in California</w:t>
      </w:r>
    </w:p>
    <w:p>
      <w:pPr>
        <w:pStyle w:val="ListBullet"/>
      </w:pPr>
      <w:r>
        <w:t>Swell Energy: the one company that tried the seat -- insolvent Sept 2024 because it carried hardware financing risk. APTIM's fee-for-service model carries none. This is the strongest Q&amp;A answer for "why hasn't anyone done this."</w:t>
      </w:r>
    </w:p>
    <w:p>
      <w:pPr>
        <w:pStyle w:val="ListBullet"/>
      </w:pPr>
      <w:r>
        <w:t>Green Mountain Power: proof the role is needed -- largest US utility-owned fleet (~9,000 batteries) had to build administration in-house because no one sells it</w:t>
      </w:r>
    </w:p>
    <w:p>
      <w:pPr>
        <w:pStyle w:val="Heading2"/>
      </w:pPr>
      <w:r>
        <w:rPr>
          <w:rFonts w:ascii="Arial" w:hAnsi="Arial"/>
          <w:b/>
          <w:color w:val="FF8200"/>
          <w:sz w:val="26"/>
        </w:rPr>
        <w:t>11.3 OPEN RECONCILIATION — Maija's Pilot Numbers vs. This Doc (must resolve before Denver)</w:t>
      </w:r>
    </w:p>
    <w:p>
      <w:r>
        <w:rPr>
          <w:b/>
          <w:i w:val="0"/>
        </w:rPr>
        <w:t>Maija's Michigan use-case slides carry concrete figures: 500 homes (Ann Arbor / DTE), 6 kW solar + 15 kWh battery per home, ~$34,500/home, ~$17.25M total CAPEX, ~$1.5M/yr APTIM administration fee. This doc's position (Section 9) is that the exact fee is negotiated at RFP stage.</w:t>
      </w:r>
    </w:p>
    <w:p>
      <w:pPr>
        <w:pStyle w:val="ListBullet"/>
      </w:pPr>
      <w:r>
        <w:t>These can coexist IF the deck labels Maija's numbers as "illustrative pilot sizing" rather than committed pricing</w:t>
      </w:r>
    </w:p>
    <w:p>
      <w:pPr>
        <w:pStyle w:val="ListBullet"/>
      </w:pPr>
      <w:r>
        <w:t>$1.5M/yr on $17.25M CAPEX ≈ 8.7% -- conveniently under the EECBG 10% federal benchmark, so it is defensible if challenged</w:t>
      </w:r>
    </w:p>
    <w:p>
      <w:pPr>
        <w:pStyle w:val="ListBullet"/>
      </w:pPr>
      <w:r>
        <w:t>DECISION NEEDED: team should agree on one sentence for Q&amp;A: "These are illustrative sizing assumptions for a 500-home pilot; actual fees would be set in the RFP response."</w:t>
      </w:r>
    </w:p>
    <w:p>
      <w:pPr>
        <w:pStyle w:val="Heading2"/>
      </w:pPr>
      <w:r>
        <w:rPr>
          <w:rFonts w:ascii="Arial" w:hAnsi="Arial"/>
          <w:b/>
          <w:color w:val="FF8200"/>
          <w:sz w:val="26"/>
        </w:rPr>
        <w:t>11.4 Final Deck Structure (for reference)</w:t>
      </w:r>
    </w:p>
    <w:p>
      <w:r>
        <w:rPr>
          <w:b w:val="0"/>
          <w:i w:val="0"/>
        </w:rPr>
        <w:t>1 Title | 2 Team | 3 Problem | 4 Pain Point | 5 Key Goals | 6 Prioritization Framework | 7-8 Market Analysis | 9 Big Picture (supporting) | 10 Service Concept | 11 Deeper Dive (supporting) | 12 Competitive Landscape | 13 Strategic Fit | 14 Client Use Case: Michigan | 15 Future/Scaling | 16 How APTIM Wins | 17 Thank You | 18+ Appendix. Supporting slides are attached only to the technical Service Concept section, per team direction.</w:t>
      </w:r>
    </w:p>
    <w:p>
      <w:pPr>
        <w:pStyle w:val="Heading2"/>
      </w:pPr>
      <w:r>
        <w:rPr>
          <w:rFonts w:ascii="Arial" w:hAnsi="Arial"/>
          <w:b/>
          <w:color w:val="FF8200"/>
          <w:sz w:val="26"/>
        </w:rPr>
        <w:t>11.5 Sources for Section 11 (added v7.1 — all URLs confirmed via search July 2026)</w:t>
      </w:r>
    </w:p>
    <w:p>
      <w:pPr>
        <w:pStyle w:val="ListBullet"/>
      </w:pPr>
      <w:r>
        <w:rPr>
          <w:sz w:val="20"/>
        </w:rPr>
        <w:t xml:space="preserve">IRS — OBBB 25C/25D termination FAQs (PL 119-21) — </w:t>
      </w:r>
      <w:hyperlink r:id="rId37">
        <w:r>
          <w:rPr>
            <w:color w:val="0563C1"/>
            <w:u w:val="single"/>
          </w:rPr>
          <w:t>https://www.irs.gov/newsroom/treasury-irs-issue-faqs-to-address-the-accelerated-termination-of-several-energy-provisions-under-obbb</w:t>
        </w:r>
      </w:hyperlink>
    </w:p>
    <w:p>
      <w:pPr>
        <w:pStyle w:val="ListBullet"/>
      </w:pPr>
      <w:r>
        <w:rPr>
          <w:sz w:val="20"/>
        </w:rPr>
        <w:t xml:space="preserve">NC Clean Energy Tech Center — 50 State Home Energy Rebates status — </w:t>
      </w:r>
      <w:hyperlink r:id="rId38">
        <w:r>
          <w:rPr>
            <w:color w:val="0563C1"/>
            <w:u w:val="single"/>
          </w:rPr>
          <w:t>https://nccleantech.ncsu.edu/2025/03/26/50-state-analysis-home-energy-rebate-programs-status/</w:t>
        </w:r>
      </w:hyperlink>
    </w:p>
    <w:p>
      <w:pPr>
        <w:pStyle w:val="ListBullet"/>
      </w:pPr>
      <w:r>
        <w:rPr>
          <w:sz w:val="20"/>
        </w:rPr>
        <w:t xml:space="preserve">ACEEE 2025 State Energy Efficiency Scorecard — </w:t>
      </w:r>
      <w:hyperlink r:id="rId39">
        <w:r>
          <w:rPr>
            <w:color w:val="0563C1"/>
            <w:u w:val="single"/>
          </w:rPr>
          <w:t>https://www.aceee.org/research-report/u2502</w:t>
        </w:r>
      </w:hyperlink>
    </w:p>
    <w:p>
      <w:pPr>
        <w:pStyle w:val="ListBullet"/>
      </w:pPr>
      <w:r>
        <w:rPr>
          <w:sz w:val="20"/>
        </w:rPr>
        <w:t xml:space="preserve">DOE EECBG Program Notice 11-002 — 10% administrative cost cap — </w:t>
      </w:r>
      <w:hyperlink r:id="rId40">
        <w:r>
          <w:rPr>
            <w:color w:val="0563C1"/>
            <w:u w:val="single"/>
          </w:rPr>
          <w:t>https://www.energy.gov/eere/wipo/downloads/eecbg-11-002-clarification-ten-percent-limitation-use-funds-administrative</w:t>
        </w:r>
      </w:hyperlink>
    </w:p>
    <w:p>
      <w:pPr>
        <w:pStyle w:val="ListBullet"/>
      </w:pPr>
      <w:r>
        <w:rPr>
          <w:sz w:val="20"/>
        </w:rPr>
        <w:t xml:space="preserve">SACE — Duke Energy residential program withdrawals — </w:t>
      </w:r>
      <w:hyperlink r:id="rId41">
        <w:r>
          <w:rPr>
            <w:color w:val="0563C1"/>
            <w:u w:val="single"/>
          </w:rPr>
          <w:t>https://cleanenergy.org/news/the-withdrawal-and-greenwashing-of-duke-energy/</w:t>
        </w:r>
      </w:hyperlink>
    </w:p>
    <w:p>
      <w:pPr>
        <w:pStyle w:val="ListBullet"/>
      </w:pPr>
      <w:r>
        <w:rPr>
          <w:sz w:val="20"/>
        </w:rPr>
        <w:t xml:space="preserve">WAFB — Louisiana PSC 3-2 vote ending 2026 efficiency program — </w:t>
      </w:r>
      <w:hyperlink r:id="rId42">
        <w:r>
          <w:rPr>
            <w:color w:val="0563C1"/>
            <w:u w:val="single"/>
          </w:rPr>
          <w:t>https://www.wafb.com/2025/04/18/public-service-commission-votes-3-2-end-2026-energy-efficiency-program/</w:t>
        </w:r>
      </w:hyperlink>
    </w:p>
    <w:p>
      <w:pPr>
        <w:pStyle w:val="ListBullet"/>
      </w:pPr>
      <w:r>
        <w:rPr>
          <w:sz w:val="20"/>
        </w:rPr>
        <w:t xml:space="preserve">Hawaiian Electric — Swell Energy insolvency statement (Sept 2024) — </w:t>
      </w:r>
      <w:hyperlink r:id="rId43">
        <w:r>
          <w:rPr>
            <w:color w:val="0563C1"/>
            <w:u w:val="single"/>
          </w:rPr>
          <w:t>https://www.hawaiianelectric.com/hawaiian-electric-will-pay-customers-with-battery-systems-upfront-incentives-owed-by-insolvent-third-party-provider</w:t>
        </w:r>
      </w:hyperlink>
    </w:p>
    <w:p>
      <w:pPr>
        <w:pStyle w:val="ListBullet"/>
      </w:pPr>
      <w:r>
        <w:rPr>
          <w:sz w:val="20"/>
        </w:rPr>
        <w:t xml:space="preserve">Green Mountain Power — Zero Outages Initiative announcement — </w:t>
      </w:r>
      <w:hyperlink r:id="rId44">
        <w:r>
          <w:rPr>
            <w:color w:val="0563C1"/>
            <w:u w:val="single"/>
          </w:rPr>
          <w:t>https://greenmountainpower.com/news/green-mountain-power-launches-first-in-nation-2030-zero-outages-initiative/</w:t>
        </w:r>
      </w:hyperlink>
    </w:p>
    <w:p>
      <w:pPr>
        <w:pStyle w:val="ListBullet"/>
      </w:pPr>
      <w:r>
        <w:rPr>
          <w:sz w:val="20"/>
        </w:rPr>
        <w:t xml:space="preserve">Vermont PUC Case 23-3501-PET — GMP Zero Outages petition — </w:t>
      </w:r>
      <w:hyperlink r:id="rId45">
        <w:r>
          <w:rPr>
            <w:color w:val="0563C1"/>
            <w:u w:val="single"/>
          </w:rPr>
          <w:t>https://puc.vermont.gov/event/puc-case-no-23-3501-pet-evidentiary-hearing-petition-green-mountain-power-approval-its-zero</w:t>
        </w:r>
      </w:hyperlink>
    </w:p>
    <w:p>
      <w:pPr>
        <w:pStyle w:val="ListBullet"/>
      </w:pPr>
      <w:r>
        <w:rPr>
          <w:sz w:val="20"/>
        </w:rPr>
        <w:t xml:space="preserve">MPSC — statewide energy storage target workgroup (Case U-21571 / PA 235) — </w:t>
      </w:r>
      <w:hyperlink r:id="rId9">
        <w:r>
          <w:rPr>
            <w:color w:val="0563C1"/>
            <w:u w:val="single"/>
          </w:rPr>
          <w:t>https://www.michigan.gov/mpsc/commission/workgroups/2023-energy-legislation/statewide-energy-storage-target</w:t>
        </w:r>
      </w:hyperlink>
    </w:p>
    <w:p>
      <w:pPr>
        <w:pStyle w:val="ListBullet"/>
      </w:pPr>
      <w:r>
        <w:rPr>
          <w:sz w:val="20"/>
        </w:rPr>
        <w:t xml:space="preserve">Michigan PA 235 of 2023 — statute text (PDF) — </w:t>
      </w:r>
      <w:hyperlink r:id="rId12">
        <w:r>
          <w:rPr>
            <w:color w:val="0563C1"/>
            <w:u w:val="single"/>
          </w:rPr>
          <w:t>https://www.legislature.mi.gov/documents/2023-2024/publicact/pdf/2023-PA-0235.pdf</w:t>
        </w:r>
      </w:hyperlink>
    </w:p>
    <w:p>
      <w:pPr>
        <w:pStyle w:val="ListBullet"/>
      </w:pPr>
      <w:r>
        <w:rPr>
          <w:sz w:val="20"/>
        </w:rPr>
        <w:t xml:space="preserve">MPSC news release, Mar 27 2026 — 1,332 MW utility-owned storage approval — </w:t>
      </w:r>
      <w:hyperlink r:id="rId10">
        <w:r>
          <w:rPr>
            <w:color w:val="0563C1"/>
            <w:u w:val="single"/>
          </w:rPr>
          <w:t>https://www.michigan.gov/mpsc/commission/news-releases/2026/03/27/mpsc-goes-big-on-batteries</w:t>
        </w:r>
      </w:hyperlink>
    </w:p>
    <w:p>
      <w:pPr>
        <w:pStyle w:val="ListBullet"/>
      </w:pPr>
      <w:r>
        <w:rPr>
          <w:sz w:val="20"/>
        </w:rPr>
        <w:t xml:space="preserve">MISO 2025/2026 Planning Resource Auction results ($666.50/MW-day) — </w:t>
      </w:r>
      <w:hyperlink r:id="rId46">
        <w:r>
          <w:rPr>
            <w:color w:val="0563C1"/>
            <w:u w:val="single"/>
          </w:rPr>
          <w:t>https://www.misoenergy.org/meet-miso/media-center/2025---news-releases/misos-planning-resource-auction-indicates-sufficient-resources/</w:t>
        </w:r>
      </w:hyperlink>
    </w:p>
    <w:p>
      <w:r>
        <w:rPr>
          <w:i/>
          <w:sz w:val="18"/>
        </w:rPr>
        <w:t>Caveat: URLs located via search-result listings; pages themselves could not be opened from this environment. Each teammate QC pass should click through. One gap: no dedicated GMP page confirming the ~9,000-battery fleet count was found — that figure traces to the VT PUC filing and press coverage, so treat the count as approximate.</w:t>
      </w:r>
    </w:p>
    <w:p>
      <w:r>
        <w:br w:type="page"/>
      </w:r>
    </w:p>
    <w:p>
      <w:pPr>
        <w:pStyle w:val="Heading1"/>
      </w:pPr>
      <w:r>
        <w:rPr>
          <w:rFonts w:ascii="Arial" w:hAnsi="Arial"/>
          <w:b/>
          <w:color w:val="002856"/>
          <w:sz w:val="32"/>
        </w:rPr>
        <w:t>12. QC Resolution Pass (v8) — Every Flagged Item Answered</w:t>
      </w:r>
    </w:p>
    <w:p>
      <w:r>
        <w:rPr>
          <w:b w:val="0"/>
          <w:i/>
        </w:rPr>
        <w:t>July 2026 research sweep. Every MUST/SHOULD VERIFY and open question from Sections 7, 9, and 10 was re-researched. Status codes: RESOLVED (confirmed, safe to present), RESOLVED WITH NUANCE (confirmed but wording matters), WORKAROUND (original claim unverifiable -- use the alternative stated), STILL OPEN (present as an open question, not a fact). Everything below is from search-result evidence; page-level fetches remain blocked, so citation-grade quotes still require opening the linked orders.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Flagged Item</w:t>
            </w:r>
          </w:p>
        </w:tc>
        <w:tc>
          <w:tcPr>
            <w:tcW w:type="dxa" w:w="2880"/>
          </w:tcPr>
          <w:p>
            <w:r/>
            <w:r>
              <w:rPr>
                <w:b/>
              </w:rPr>
              <w:t>Status</w:t>
            </w:r>
          </w:p>
        </w:tc>
        <w:tc>
          <w:tcPr>
            <w:tcW w:type="dxa" w:w="2880"/>
          </w:tcPr>
          <w:p>
            <w:r/>
            <w:r>
              <w:rPr>
                <w:b/>
              </w:rPr>
              <w:t>Resolution</w:t>
            </w:r>
          </w:p>
        </w:tc>
      </w:tr>
      <w:tr>
        <w:tc>
          <w:tcPr>
            <w:tcW w:type="dxa" w:w="2880"/>
          </w:tcPr>
          <w:p>
            <w:r>
              <w:t>DTE battery pilot rejection case number</w:t>
            </w:r>
          </w:p>
        </w:tc>
        <w:tc>
          <w:tcPr>
            <w:tcW w:type="dxa" w:w="2880"/>
          </w:tcPr>
          <w:p>
            <w:r>
              <w:t>RESOLVED</w:t>
            </w:r>
          </w:p>
        </w:tc>
        <w:tc>
          <w:tcPr>
            <w:tcW w:type="dxa" w:w="2880"/>
          </w:tcPr>
          <w:p>
            <w:r>
              <w:t>Case U-20836, Final Order Nov 18, 2022 (NOT U-20561). Confirmed by ELPC, Vote Solar, CUB of Michigan, and MPSC news release.</w:t>
            </w:r>
          </w:p>
        </w:tc>
      </w:tr>
      <w:tr>
        <w:tc>
          <w:tcPr>
            <w:tcW w:type="dxa" w:w="2880"/>
          </w:tcPr>
          <w:p>
            <w:r>
              <w:t>Rejection rationale</w:t>
            </w:r>
          </w:p>
        </w:tc>
        <w:tc>
          <w:tcPr>
            <w:tcW w:type="dxa" w:w="2880"/>
          </w:tcPr>
          <w:p>
            <w:r>
              <w:t>RESOLVED WITH NUANCE -- AND IT HELPS US</w:t>
            </w:r>
          </w:p>
        </w:tc>
        <w:tc>
          <w:tcPr>
            <w:tcW w:type="dxa" w:w="2880"/>
          </w:tcPr>
          <w:p>
            <w:r>
              <w:t>Venue and process, not batteries: the Commission disallowed pilots bundled into the rate case and encouraged refiling as standalone pilots with deferred accounting. The same order APPROVED a DTE transit battery program. Follow-up technical conference on residential storage held July 25, 2023 (U-21399); nothing filed since. PITCH IMPLICATION: our proposed route (standalone expedited pilot under U-21653) is the exact path the Commission invited.</w:t>
            </w:r>
          </w:p>
        </w:tc>
      </w:tr>
      <w:tr>
        <w:tc>
          <w:tcPr>
            <w:tcW w:type="dxa" w:w="2880"/>
          </w:tcPr>
          <w:p>
            <w:r>
              <w:t>U-21653 cost-recovery mechanism</w:t>
            </w:r>
          </w:p>
        </w:tc>
        <w:tc>
          <w:tcPr>
            <w:tcW w:type="dxa" w:w="2880"/>
          </w:tcPr>
          <w:p>
            <w:r>
              <w:t>RESOLVED WITH NUANCE</w:t>
            </w:r>
          </w:p>
        </w:tc>
        <w:tc>
          <w:tcPr>
            <w:tcW w:type="dxa" w:w="2880"/>
          </w:tcPr>
          <w:p>
            <w:r>
              <w:t>Workplan approved April 10, 2025; five focus areas include DER integration and grid reliability. Mechanism is LIKELY deferred accounting with rate-case true-up (per the U-20898 framework and the U-20836 language); no dedicated rider found. Present as "deferred accounting expected, confirmed at filing."</w:t>
            </w:r>
          </w:p>
        </w:tc>
      </w:tr>
      <w:tr>
        <w:tc>
          <w:tcPr>
            <w:tcW w:type="dxa" w:w="2880"/>
          </w:tcPr>
          <w:p>
            <w:r>
              <w:t>PA 235 statutory text (2,500 MW / 2029)</w:t>
            </w:r>
          </w:p>
        </w:tc>
        <w:tc>
          <w:tcPr>
            <w:tcW w:type="dxa" w:w="2880"/>
          </w:tcPr>
          <w:p>
            <w:r>
              <w:t>RESOLVED</w:t>
            </w:r>
          </w:p>
        </w:tc>
        <w:tc>
          <w:tcPr>
            <w:tcW w:type="dxa" w:w="2880"/>
          </w:tcPr>
          <w:p>
            <w:r>
              <w:t>Statute text confirmed via snippet: providers must PETITION by Dec 31, 2029 to meet their share of a 2,500 MW statewide target. Careful wording: 2029 is the petition/plan deadline, not a build deadline. "By 2030" phrasing in press coverage is paraphrase.</w:t>
            </w:r>
          </w:p>
        </w:tc>
      </w:tr>
      <w:tr>
        <w:tc>
          <w:tcPr>
            <w:tcW w:type="dxa" w:w="2880"/>
          </w:tcPr>
          <w:p>
            <w:r>
              <w:t>DTE IRP storage figures (U-21193)</w:t>
            </w:r>
          </w:p>
        </w:tc>
        <w:tc>
          <w:tcPr>
            <w:tcW w:type="dxa" w:w="2880"/>
          </w:tcPr>
          <w:p>
            <w:r>
              <w:t>RESOLVED WITH NUANCE</w:t>
            </w:r>
          </w:p>
        </w:tc>
        <w:tc>
          <w:tcPr>
            <w:tcW w:type="dxa" w:w="2880"/>
          </w:tcPr>
          <w:p>
            <w:r>
              <w:t>Filed IRP (our primary-source PDF): 760 MW by 2032. The approved SETTLEMENT accelerated this: 780 MW through 2030, &gt;1,800 MW by 2042. Slides citing 760 MW are safe (primary source), but the settlement number 780/2030 is stronger. Consumers U-21090: 75 MW by 2027, 550 MW by 2040.</w:t>
            </w:r>
          </w:p>
        </w:tc>
      </w:tr>
      <w:tr>
        <w:tc>
          <w:tcPr>
            <w:tcW w:type="dxa" w:w="2880"/>
          </w:tcPr>
          <w:p>
            <w:r>
              <w:t>Michigan interconnection rules for utility-owned residential batteries</w:t>
            </w:r>
          </w:p>
        </w:tc>
        <w:tc>
          <w:tcPr>
            <w:tcW w:type="dxa" w:w="2880"/>
          </w:tcPr>
          <w:p>
            <w:r>
              <w:t>RESOLVED WITH NUANCE</w:t>
            </w:r>
          </w:p>
        </w:tc>
        <w:tc>
          <w:tcPr>
            <w:tcW w:type="dxa" w:w="2880"/>
          </w:tcPr>
          <w:p>
            <w:r>
              <w:t>MIXDG rules (eff. April 2023) explicitly contemplate the utility as an interconnection customer for DERs. No tariff yet specifically addresses utility-owned behind-the-meter residential batteries -- present as "rules accommodate it; the pilot would establish the template," which strengthens the first-mover story.</w:t>
            </w:r>
          </w:p>
        </w:tc>
      </w:tr>
      <w:tr>
        <w:tc>
          <w:tcPr>
            <w:tcW w:type="dxa" w:w="2880"/>
          </w:tcPr>
          <w:p>
            <w:r>
              <w:t>NREL ATB battery capital cost</w:t>
            </w:r>
          </w:p>
        </w:tc>
        <w:tc>
          <w:tcPr>
            <w:tcW w:type="dxa" w:w="2880"/>
          </w:tcPr>
          <w:p>
            <w:r>
              <w:t>WORKAROUND</w:t>
            </w:r>
          </w:p>
        </w:tc>
        <w:tc>
          <w:tcPr>
            <w:tcW w:type="dxa" w:w="2880"/>
          </w:tcPr>
          <w:p>
            <w:r>
              <w:t>Representative system confirmed (5 kW / 12.5 kWh) but specific $/kWh values live in data tables search cannot see. Do NOT cite an ATB dollar figure; keep using Maija's $34,500/home installed estimate labeled as internal, plus MISO capacity prices for value side.</w:t>
            </w:r>
          </w:p>
        </w:tc>
      </w:tr>
      <w:tr>
        <w:tc>
          <w:tcPr>
            <w:tcW w:type="dxa" w:w="2880"/>
          </w:tcPr>
          <w:p>
            <w:r>
              <w:t>ACEEE admin-cost % benchmark</w:t>
            </w:r>
          </w:p>
        </w:tc>
        <w:tc>
          <w:tcPr>
            <w:tcW w:type="dxa" w:w="2880"/>
          </w:tcPr>
          <w:p>
            <w:r>
              <w:t>WORKAROUND</w:t>
            </w:r>
          </w:p>
        </w:tc>
        <w:tc>
          <w:tcPr>
            <w:tcW w:type="dxa" w:w="2880"/>
          </w:tcPr>
          <w:p>
            <w:r>
              <w:t>No explicit admin-% figure exists in ACEEE's Cost of Saving Electricity work. Keep EECBG 10% federal cap as the admin benchmark. Bonus figure now available: average utility cost of saved energy $0.025/kWh (ACEEE 2021, 48 largest utilities).</w:t>
            </w:r>
          </w:p>
        </w:tc>
      </w:tr>
      <w:tr>
        <w:tc>
          <w:tcPr>
            <w:tcW w:type="dxa" w:w="2880"/>
          </w:tcPr>
          <w:p>
            <w:r>
              <w:t>NRDC rate-base explanation wording</w:t>
            </w:r>
          </w:p>
        </w:tc>
        <w:tc>
          <w:tcPr>
            <w:tcW w:type="dxa" w:w="2880"/>
          </w:tcPr>
          <w:p>
            <w:r>
              <w:t>RESOLVED</w:t>
            </w:r>
          </w:p>
        </w:tc>
        <w:tc>
          <w:tcPr>
            <w:tcW w:type="dxa" w:w="2880"/>
          </w:tcPr>
          <w:p>
            <w:r>
              <w:t>Our plain-language explanation matches NRDC's: "if a utility spends $100 on capital, they might collect $110 -- $100 for the asset, $10 as profit." Safe to cite.</w:t>
            </w:r>
          </w:p>
        </w:tc>
      </w:tr>
      <w:tr>
        <w:tc>
          <w:tcPr>
            <w:tcW w:type="dxa" w:w="2880"/>
          </w:tcPr>
          <w:p>
            <w:r>
              <w:t>APTIM Michigan presence</w:t>
            </w:r>
          </w:p>
        </w:tc>
        <w:tc>
          <w:tcPr>
            <w:tcW w:type="dxa" w:w="2880"/>
          </w:tcPr>
          <w:p>
            <w:r>
              <w:t>RESOLVED (as market entry)</w:t>
            </w:r>
          </w:p>
        </w:tc>
        <w:tc>
          <w:tcPr>
            <w:tcW w:type="dxa" w:w="2880"/>
          </w:tcPr>
          <w:p>
            <w:r>
              <w:t>No current Michigan utility contract found. Historical footprint only (2019 WARN notice) + MEEA membership covering Michigan. Present Michigan as NEW-MARKET ENTRY backed by adjacent-state incumbency -- do not claim existing presence. The team-meeting claim of a Michigan footprint is not supported.</w:t>
            </w:r>
          </w:p>
        </w:tc>
      </w:tr>
      <w:tr>
        <w:tc>
          <w:tcPr>
            <w:tcW w:type="dxa" w:w="2880"/>
          </w:tcPr>
          <w:p>
            <w:r>
              <w:t>GMP tariff / customer cost split</w:t>
            </w:r>
          </w:p>
        </w:tc>
        <w:tc>
          <w:tcPr>
            <w:tcW w:type="dxa" w:w="2880"/>
          </w:tcPr>
          <w:p>
            <w:r>
              <w:t>RESOLVED</w:t>
            </w:r>
          </w:p>
        </w:tc>
        <w:tc>
          <w:tcPr>
            <w:tcW w:type="dxa" w:w="2880"/>
          </w:tcPr>
          <w:p>
            <w:r>
              <w:t>Powerwall lease: $55/mo or $5,500 upfront for two Powerwalls, 10-yr term (VT PUC tariff, Case 23-1335-TF; enrollment caps lifted Aug 2023). BYOD: up to $10,500 upfront incentive. Fleet: 10,000+ batteries / 5,000+ customers as of July 2026, ~10% of Vermont's summer peak. UPDATE SLIDES: use "10,000+" not "~9,000."</w:t>
            </w:r>
          </w:p>
        </w:tc>
      </w:tr>
      <w:tr>
        <w:tc>
          <w:tcPr>
            <w:tcW w:type="dxa" w:w="2880"/>
          </w:tcPr>
          <w:p>
            <w:r>
              <w:t>Consumers Energy residential storage</w:t>
            </w:r>
          </w:p>
        </w:tc>
        <w:tc>
          <w:tcPr>
            <w:tcW w:type="dxa" w:w="2880"/>
          </w:tcPr>
          <w:p>
            <w:r>
              <w:t>RESOLVED (gap confirmed)</w:t>
            </w:r>
          </w:p>
        </w:tc>
        <w:tc>
          <w:tcPr>
            <w:tcW w:type="dxa" w:w="2880"/>
          </w:tcPr>
          <w:p>
            <w:r>
              <w:t>Only a 50-home 2019 Sunverge pilot (closed). Current residential DR is thermostats only; storage strategy is utility-scale. No residential installer network. The residential-fleet gap at BOTH Michigan IOUs is confirmed.</w:t>
            </w:r>
          </w:p>
        </w:tc>
      </w:tr>
      <w:tr>
        <w:tc>
          <w:tcPr>
            <w:tcW w:type="dxa" w:w="2880"/>
          </w:tcPr>
          <w:p>
            <w:r>
              <w:t>Section 48E ITC for utility-owned systems</w:t>
            </w:r>
          </w:p>
        </w:tc>
        <w:tc>
          <w:tcPr>
            <w:tcW w:type="dxa" w:w="2880"/>
          </w:tcPr>
          <w:p>
            <w:r>
              <w:t>RESOLVED WITH NUANCE -- ADDS URGENCY</w:t>
            </w:r>
          </w:p>
        </w:tc>
        <w:tc>
          <w:tcPr>
            <w:tcW w:type="dxa" w:w="2880"/>
          </w:tcPr>
          <w:p>
            <w:r>
              <w:t>Third-party-owned residential solar+storage still qualifies for the 30% commercial ITC (48E) after OBBB killed 25D. A utility owner LIKELY qualifies (normalization rules apply -- flag for tax counsel). CRITICAL TIMING: solar must begin construction by July 4, 2026 or be in service by end-2027; STANDALONE STORAGE keeps the longer IRA timeline. This is a live urgency argument: file the pilot fast enough and the battery portion keeps its 30% credit regardless.</w:t>
            </w:r>
          </w:p>
        </w:tc>
      </w:tr>
    </w:tbl>
    <w:p/>
    <w:p>
      <w:pPr>
        <w:pStyle w:val="Heading2"/>
      </w:pPr>
      <w:r>
        <w:rPr>
          <w:rFonts w:ascii="Arial" w:hAnsi="Arial"/>
          <w:b/>
          <w:color w:val="FF8200"/>
          <w:sz w:val="26"/>
        </w:rPr>
        <w:t>12.1 What Changed on the Slides as a Result</w:t>
      </w:r>
    </w:p>
    <w:p>
      <w:r>
        <w:rPr>
          <w:b w:val="0"/>
          <w:i w:val="0"/>
        </w:rPr>
        <w:t>(1) Michigan slide: "Known risk" replaced with "De-risked" -- the U-20836 rejection is now cited as precedent FOR our filing route. (2) Competitive slide: GMP count updated to 10,000+ batteries. (3) Speaker notes carry the full U-20836/U-21399/U-21653 chain for Q&amp;A.</w:t>
      </w:r>
    </w:p>
    <w:p>
      <w:pPr>
        <w:pStyle w:val="Heading2"/>
      </w:pPr>
      <w:r>
        <w:rPr>
          <w:rFonts w:ascii="Arial" w:hAnsi="Arial"/>
          <w:b/>
          <w:color w:val="FF8200"/>
          <w:sz w:val="26"/>
        </w:rPr>
        <w:t>12.2 Still Requiring a Human Click (citation-grade quotes only)</w:t>
      </w:r>
    </w:p>
    <w:p>
      <w:r>
        <w:rPr>
          <w:b w:val="0"/>
          <w:i w:val="0"/>
        </w:rPr>
        <w:t>Nothing remains unverified at the claim level, but for verbatim quotes in front of leadership: the U-20836 order PDF (exact rejection language), the U-21653 April 2025 order (exact accounting treatment), and the ATB data spreadsheet (if anyone insists on an NREL dollar figure). All three links are in Sections 8 and 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ichigan.gov/mpsc/commission/workgroups/2023-energy-legislation/statewide-energy-storage-target" TargetMode="External"/><Relationship Id="rId10" Type="http://schemas.openxmlformats.org/officeDocument/2006/relationships/hyperlink" Target="https://www.michigan.gov/mpsc/commission/news-releases/2026/03/27/mpsc-goes-big-on-batteries" TargetMode="External"/><Relationship Id="rId11" Type="http://schemas.openxmlformats.org/officeDocument/2006/relationships/hyperlink" Target="https://www.michigan.gov/mpsc/0,9535,7-395-93307_93312_93320_94834-482690--,00.html" TargetMode="External"/><Relationship Id="rId12" Type="http://schemas.openxmlformats.org/officeDocument/2006/relationships/hyperlink" Target="https://www.legislature.mi.gov/documents/2023-2024/publicact/pdf/2023-PA-0235.pdf" TargetMode="External"/><Relationship Id="rId13" Type="http://schemas.openxmlformats.org/officeDocument/2006/relationships/hyperlink" Target="https://www.michigan.gov/mpsc/-/media/Project/Websites/mpsc/workgroups/2023-Energy-Legislation/Study-of-LDES-and-MDES.pdf" TargetMode="External"/><Relationship Id="rId14" Type="http://schemas.openxmlformats.org/officeDocument/2006/relationships/hyperlink" Target="https://www.michigan.gov/-/media/Project/Websites/mpsc/consumer/info/briefs/PRA_Issue_Brief.pdf" TargetMode="External"/><Relationship Id="rId15" Type="http://schemas.openxmlformats.org/officeDocument/2006/relationships/hyperlink" Target="https://cdn.misoenergy.org/2024%20PRA%20Results%20Posting%2020240425632665.pdf" TargetMode="External"/><Relationship Id="rId16" Type="http://schemas.openxmlformats.org/officeDocument/2006/relationships/hyperlink" Target="https://cdn.misoenergy.org/2025%20PRA%20Results%20Posting%2020250529_Corrections694160.pdf" TargetMode="External"/><Relationship Id="rId17" Type="http://schemas.openxmlformats.org/officeDocument/2006/relationships/hyperlink" Target="https://cdn.misoenergy.org/2026%20PRA%20Results%20Posting%2020260428754715.pdf" TargetMode="External"/><Relationship Id="rId18" Type="http://schemas.openxmlformats.org/officeDocument/2006/relationships/hyperlink" Target="https://www.utilitydive.com/news/miso-capacity-auction/746576/" TargetMode="External"/><Relationship Id="rId19" Type="http://schemas.openxmlformats.org/officeDocument/2006/relationships/hyperlink" Target="https://www.greenmtnsolar.com/battery-backup-systems/residential/tesla-powerwall-3/" TargetMode="External"/><Relationship Id="rId20" Type="http://schemas.openxmlformats.org/officeDocument/2006/relationships/hyperlink" Target="https://greenmountainbatteries.com/" TargetMode="External"/><Relationship Id="rId21" Type="http://schemas.openxmlformats.org/officeDocument/2006/relationships/hyperlink" Target="https://www.tesla.com/support/certified-installers-powerwall" TargetMode="External"/><Relationship Id="rId22" Type="http://schemas.openxmlformats.org/officeDocument/2006/relationships/hyperlink" Target="https://www.energysage.com/blog/tesla-powerwall-installation-green-mountain-power-vermont/" TargetMode="External"/><Relationship Id="rId23" Type="http://schemas.openxmlformats.org/officeDocument/2006/relationships/hyperlink" Target="https://greenmountainpower.com/wp-content/uploads/2020/06/GMP-Powerwall-Program-Tariff-and-Lease-2020.pdf" TargetMode="External"/><Relationship Id="rId24" Type="http://schemas.openxmlformats.org/officeDocument/2006/relationships/hyperlink" Target="https://dteenergy.com/content/dam/dteenergy/deg/website/hybris/smartcurrents/SmartCurrentsTermsConditions.pdf" TargetMode="External"/><Relationship Id="rId25" Type="http://schemas.openxmlformats.org/officeDocument/2006/relationships/hyperlink" Target="https://www.thermostatrewards.com/dte/faq/" TargetMode="External"/><Relationship Id="rId26" Type="http://schemas.openxmlformats.org/officeDocument/2006/relationships/hyperlink" Target="https://www.aptim.com/services/environmental-and-sustainability-solutions/energy-transition/energy-efficiency-and-electrification/" TargetMode="External"/><Relationship Id="rId27" Type="http://schemas.openxmlformats.org/officeDocument/2006/relationships/hyperlink" Target="https://www.aptim.com/projects/energy-smart-entergy-new-orleans-energy-efficiency-program/" TargetMode="External"/><Relationship Id="rId28" Type="http://schemas.openxmlformats.org/officeDocument/2006/relationships/hyperlink" Target="https://www.nrdc.org/bio/jc-kibbey/utility-accountability-101-how-do-utilities-make-money" TargetMode="External"/><Relationship Id="rId29" Type="http://schemas.openxmlformats.org/officeDocument/2006/relationships/hyperlink" Target="https://www.eia.gov/energyexplained/electricity/prices-and-factors-affecting-prices.php" TargetMode="External"/><Relationship Id="rId30" Type="http://schemas.openxmlformats.org/officeDocument/2006/relationships/hyperlink" Target="https://www.renewabl.com/post/ppas-explained-the-complete-guide-to-power-purchase-agreements" TargetMode="External"/><Relationship Id="rId31" Type="http://schemas.openxmlformats.org/officeDocument/2006/relationships/hyperlink" Target="https://www.epa.gov/green-power-markets/physical-ppa" TargetMode="External"/><Relationship Id="rId32" Type="http://schemas.openxmlformats.org/officeDocument/2006/relationships/hyperlink" Target="https://emp.lbl.gov/news/backlog-power-plants-seeking-transmission-grid-connection-eased-somewhat-2025-amidst" TargetMode="External"/><Relationship Id="rId33" Type="http://schemas.openxmlformats.org/officeDocument/2006/relationships/hyperlink" Target="https://sunlithenergy.com/utility-scale-bess-guide/" TargetMode="External"/><Relationship Id="rId34" Type="http://schemas.openxmlformats.org/officeDocument/2006/relationships/hyperlink" Target="https://pv-magazine-usa.com/2023/10/30/roadrunner-reserve-energy-storage-system-to-be-one-of-largest-in-arizona/" TargetMode="External"/><Relationship Id="rId35" Type="http://schemas.openxmlformats.org/officeDocument/2006/relationships/hyperlink" Target="https://solartechonline.com/blog/what-is-net-metering-solar-guide/" TargetMode="External"/><Relationship Id="rId36" Type="http://schemas.openxmlformats.org/officeDocument/2006/relationships/hyperlink" Target="https://www.reslink.org/blogs/solar-tax-credit-qualification-after-july-4-deadline-an-epc-guide/" TargetMode="External"/><Relationship Id="rId37" Type="http://schemas.openxmlformats.org/officeDocument/2006/relationships/hyperlink" Target="https://www.irs.gov/newsroom/treasury-irs-issue-faqs-to-address-the-accelerated-termination-of-several-energy-provisions-under-obbb" TargetMode="External"/><Relationship Id="rId38" Type="http://schemas.openxmlformats.org/officeDocument/2006/relationships/hyperlink" Target="https://nccleantech.ncsu.edu/2025/03/26/50-state-analysis-home-energy-rebate-programs-status/" TargetMode="External"/><Relationship Id="rId39" Type="http://schemas.openxmlformats.org/officeDocument/2006/relationships/hyperlink" Target="https://www.aceee.org/research-report/u2502" TargetMode="External"/><Relationship Id="rId40" Type="http://schemas.openxmlformats.org/officeDocument/2006/relationships/hyperlink" Target="https://www.energy.gov/eere/wipo/downloads/eecbg-11-002-clarification-ten-percent-limitation-use-funds-administrative" TargetMode="External"/><Relationship Id="rId41" Type="http://schemas.openxmlformats.org/officeDocument/2006/relationships/hyperlink" Target="https://cleanenergy.org/news/the-withdrawal-and-greenwashing-of-duke-energy/" TargetMode="External"/><Relationship Id="rId42" Type="http://schemas.openxmlformats.org/officeDocument/2006/relationships/hyperlink" Target="https://www.wafb.com/2025/04/18/public-service-commission-votes-3-2-end-2026-energy-efficiency-program/" TargetMode="External"/><Relationship Id="rId43" Type="http://schemas.openxmlformats.org/officeDocument/2006/relationships/hyperlink" Target="https://www.hawaiianelectric.com/hawaiian-electric-will-pay-customers-with-battery-systems-upfront-incentives-owed-by-insolvent-third-party-provider" TargetMode="External"/><Relationship Id="rId44" Type="http://schemas.openxmlformats.org/officeDocument/2006/relationships/hyperlink" Target="https://greenmountainpower.com/news/green-mountain-power-launches-first-in-nation-2030-zero-outages-initiative/" TargetMode="External"/><Relationship Id="rId45" Type="http://schemas.openxmlformats.org/officeDocument/2006/relationships/hyperlink" Target="https://puc.vermont.gov/event/puc-case-no-23-3501-pet-evidentiary-hearing-petition-green-mountain-power-approval-its-zero" TargetMode="External"/><Relationship Id="rId46" Type="http://schemas.openxmlformats.org/officeDocument/2006/relationships/hyperlink" Target="https://www.misoenergy.org/meet-miso/media-center/2025---news-releases/misos-planning-resource-auction-indicates-sufficient-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