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p>
      <w:r>
        <w:br w:type="page"/>
      </w:r>
    </w:p>
    <w:p>
      <w:pPr>
        <w:pStyle w:val="Heading1"/>
      </w:pPr>
      <w:r>
        <w:rPr>
          <w:rFonts w:ascii="Arial" w:hAnsi="Arial"/>
          <w:b/>
          <w:color w:val="1B2A5E"/>
          <w:sz w:val="32"/>
        </w:rPr>
        <w:t>9. Cost Structure — Sourced Analysis (v5 Addition)</w:t>
      </w:r>
    </w:p>
    <w:p>
      <w:r>
        <w:rPr>
          <w:b/>
          <w:i w:val="0"/>
        </w:rPr>
        <w:t>A correction from this round of research: the DTE case number previously cited (U-20561) is DTE's 2020 rate case, NOT the 2022 case that reportedly rejected a residential battery pilot. The correct case number and MPSC's stated rationale could not be confirmed from primary sources in this research pass. DO NOT cite U-20561 in connection with the battery pilot rejection. This has been corrected on the presentation slide; flagged here for the written record.</w:t>
      </w:r>
    </w:p>
    <w:p>
      <w:pPr>
        <w:pStyle w:val="Heading2"/>
      </w:pPr>
      <w:r>
        <w:rPr>
          <w:rFonts w:ascii="Arial" w:hAnsi="Arial"/>
          <w:b/>
          <w:color w:val="E87B22"/>
          <w:sz w:val="26"/>
        </w:rPr>
        <w:t>What Real Programs Actually Charge — Verified vs. Unverified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Status</w:t>
            </w:r>
          </w:p>
        </w:tc>
        <w:tc>
          <w:tcPr>
            <w:tcW w:type="dxa" w:w="2880"/>
          </w:tcPr>
          <w:p>
            <w:r/>
            <w:r>
              <w:rPr>
                <w:b/>
              </w:rPr>
              <w:t>Detail</w:t>
            </w:r>
          </w:p>
        </w:tc>
      </w:tr>
      <w:tr>
        <w:tc>
          <w:tcPr>
            <w:tcW w:type="dxa" w:w="2880"/>
          </w:tcPr>
          <w:p>
            <w:r>
              <w:t>GMP Powerwall customer price</w:t>
            </w:r>
          </w:p>
        </w:tc>
        <w:tc>
          <w:tcPr>
            <w:tcW w:type="dxa" w:w="2880"/>
          </w:tcPr>
          <w:p>
            <w:r>
              <w:t>VERIFIED</w:t>
            </w:r>
          </w:p>
        </w:tc>
        <w:tc>
          <w:tcPr>
            <w:tcW w:type="dxa" w:w="2880"/>
          </w:tcPr>
          <w:p>
            <w:r>
              <w:t>$55/month or $5,500 upfront for 2 Powerwalls</w:t>
            </w:r>
          </w:p>
        </w:tc>
      </w:tr>
      <w:tr>
        <w:tc>
          <w:tcPr>
            <w:tcW w:type="dxa" w:w="2880"/>
          </w:tcPr>
          <w:p>
            <w:r>
              <w:t>Retail Powerwall + install cost</w:t>
            </w:r>
          </w:p>
        </w:tc>
        <w:tc>
          <w:tcPr>
            <w:tcW w:type="dxa" w:w="2880"/>
          </w:tcPr>
          <w:p>
            <w:r>
              <w:t>VERIFIED (retail estimate)</w:t>
            </w:r>
          </w:p>
        </w:tc>
        <w:tc>
          <w:tcPr>
            <w:tcW w:type="dxa" w:w="2880"/>
          </w:tcPr>
          <w:p>
            <w:r>
              <w:t>~$8,200-9,300/unit hardware; $10,000-15,000/unit fully installed (consumer retail pricing, not utility procurement)</w:t>
            </w:r>
          </w:p>
        </w:tc>
      </w:tr>
      <w:tr>
        <w:tc>
          <w:tcPr>
            <w:tcW w:type="dxa" w:w="2880"/>
          </w:tcPr>
          <w:p>
            <w:r>
              <w:t>GMP cost-allocation split (customer vs. rate base)</w:t>
            </w:r>
          </w:p>
        </w:tc>
        <w:tc>
          <w:tcPr>
            <w:tcW w:type="dxa" w:w="2880"/>
          </w:tcPr>
          <w:p>
            <w:r>
              <w:t>UNVERIFIED</w:t>
            </w:r>
          </w:p>
        </w:tc>
        <w:tc>
          <w:tcPr>
            <w:tcW w:type="dxa" w:w="2880"/>
          </w:tcPr>
          <w:p>
            <w:r>
              <w:t>GMP's own language ("benefits all GMP customers") suggests rate-base cost-sharing, but the exact reconciliation was not found in an accessible primary tariff filing</w:t>
            </w:r>
          </w:p>
        </w:tc>
      </w:tr>
      <w:tr>
        <w:tc>
          <w:tcPr>
            <w:tcW w:type="dxa" w:w="2880"/>
          </w:tcPr>
          <w:p>
            <w:r>
              <w:t>Federal EECBG admin fee cap</w:t>
            </w:r>
          </w:p>
        </w:tc>
        <w:tc>
          <w:tcPr>
            <w:tcW w:type="dxa" w:w="2880"/>
          </w:tcPr>
          <w:p>
            <w:r>
              <w:t>VERIFIED</w:t>
            </w:r>
          </w:p>
        </w:tc>
        <w:tc>
          <w:tcPr>
            <w:tcW w:type="dxa" w:w="2880"/>
          </w:tcPr>
          <w:p>
            <w:r>
              <w:t>10% of program funds (or $75,000 floor for local governments) -- DOE program rule. This is a federal block-grant analog, not a utility DSM benchmark specifically</w:t>
            </w:r>
          </w:p>
        </w:tc>
      </w:tr>
      <w:tr>
        <w:tc>
          <w:tcPr>
            <w:tcW w:type="dxa" w:w="2880"/>
          </w:tcPr>
          <w:p>
            <w:r>
              <w:t>DSM industry "10-20% of budget" admin benchmark</w:t>
            </w:r>
          </w:p>
        </w:tc>
        <w:tc>
          <w:tcPr>
            <w:tcW w:type="dxa" w:w="2880"/>
          </w:tcPr>
          <w:p>
            <w:r>
              <w:t>UNVERIFIED</w:t>
            </w:r>
          </w:p>
        </w:tc>
        <w:tc>
          <w:tcPr>
            <w:tcW w:type="dxa" w:w="2880"/>
          </w:tcPr>
          <w:p>
            <w:r>
              <w:t>Commonly cited in the industry but could not be traced to a specific ACEEE/E4TheFuture document in this pass</w:t>
            </w:r>
          </w:p>
        </w:tc>
      </w:tr>
      <w:tr>
        <w:tc>
          <w:tcPr>
            <w:tcW w:type="dxa" w:w="2880"/>
          </w:tcPr>
          <w:p>
            <w:r>
              <w:t>APTIM's actual Focus on Energy fee ($ or %)</w:t>
            </w:r>
          </w:p>
        </w:tc>
        <w:tc>
          <w:tcPr>
            <w:tcW w:type="dxa" w:w="2880"/>
          </w:tcPr>
          <w:p>
            <w:r>
              <w:t>NOT PUBLICLY DISCLOSED</w:t>
            </w:r>
          </w:p>
        </w:tc>
        <w:tc>
          <w:tcPr>
            <w:tcW w:type="dxa" w:w="2880"/>
          </w:tcPr>
          <w:p>
            <w:r>
              <w:t>Confirmed: the 2023-2026 SEERA-APTIM contract includes a performance-bonus mechanism (customer satisfaction, income-qualified participation, spending equity, savings goals). The base fee amount is not public in any source found.</w:t>
            </w:r>
          </w:p>
        </w:tc>
      </w:tr>
      <w:tr>
        <w:tc>
          <w:tcPr>
            <w:tcW w:type="dxa" w:w="2880"/>
          </w:tcPr>
          <w:p>
            <w:r>
              <w:t>Hawaiian Electric BYOD Plus incentive</w:t>
            </w:r>
          </w:p>
        </w:tc>
        <w:tc>
          <w:tcPr>
            <w:tcW w:type="dxa" w:w="2880"/>
          </w:tcPr>
          <w:p>
            <w:r>
              <w:t>VERIFIED</w:t>
            </w:r>
          </w:p>
        </w:tc>
        <w:tc>
          <w:tcPr>
            <w:tcW w:type="dxa" w:w="2880"/>
          </w:tcPr>
          <w:p>
            <w:r>
              <w:t>$400/kW + $400/kW low-income adder, uncapped, 5-year minimum commitment</w:t>
            </w:r>
          </w:p>
        </w:tc>
      </w:tr>
      <w:tr>
        <w:tc>
          <w:tcPr>
            <w:tcW w:type="dxa" w:w="2880"/>
          </w:tcPr>
          <w:p>
            <w:r>
              <w:t>HECO cost-recovery mechanism for BYOD Plus</w:t>
            </w:r>
          </w:p>
        </w:tc>
        <w:tc>
          <w:tcPr>
            <w:tcW w:type="dxa" w:w="2880"/>
          </w:tcPr>
          <w:p>
            <w:r>
              <w:t>UNVERIFIED</w:t>
            </w:r>
          </w:p>
        </w:tc>
        <w:tc>
          <w:tcPr>
            <w:tcW w:type="dxa" w:w="2880"/>
          </w:tcPr>
          <w:p>
            <w:r>
              <w:t>Not found -- useful only as a $/kW benchmark, not as a utility-owned-asset cost-recovery comparable</w:t>
            </w:r>
          </w:p>
        </w:tc>
      </w:tr>
      <w:tr>
        <w:tc>
          <w:tcPr>
            <w:tcW w:type="dxa" w:w="2880"/>
          </w:tcPr>
          <w:p>
            <w:r>
              <w:t>MPSC Case U-21653 cost-recovery mechanics</w:t>
            </w:r>
          </w:p>
        </w:tc>
        <w:tc>
          <w:tcPr>
            <w:tcW w:type="dxa" w:w="2880"/>
          </w:tcPr>
          <w:p>
            <w:r>
              <w:t>UNVERIFIED</w:t>
            </w:r>
          </w:p>
        </w:tc>
        <w:tc>
          <w:tcPr>
            <w:tcW w:type="dxa" w:w="2880"/>
          </w:tcPr>
          <w:p>
            <w:r>
              <w:t>Confirms an expedited 90-day APPROVAL process for pilots (DER integration is an eligible category), but does not confirm HOW costs are recovered (rider vs. rate-case true-up) -- this is a distinct, unanswered question</w:t>
            </w:r>
          </w:p>
        </w:tc>
      </w:tr>
    </w:tbl>
    <w:p/>
    <w:p>
      <w:pPr>
        <w:pStyle w:val="Heading2"/>
      </w:pPr>
      <w:r>
        <w:rPr>
          <w:rFonts w:ascii="Arial" w:hAnsi="Arial"/>
          <w:b/>
          <w:color w:val="E87B22"/>
          <w:sz w:val="26"/>
        </w:rPr>
        <w:t>Recommended Cost Structure for the Pitch</w:t>
      </w:r>
    </w:p>
    <w:p>
      <w:r>
        <w:rPr>
          <w:b/>
          <w:i w:val="0"/>
        </w:rPr>
        <w:t>Hybrid model: base administration fee as a percentage of program budget, plus a performance-bonus overlay.</w:t>
      </w:r>
    </w:p>
    <w:p>
      <w:pPr>
        <w:pStyle w:val="ListBullet"/>
      </w:pPr>
      <w:r>
        <w:t>This is not a hypothetical structure — it mirrors APTIM's actual, real, currently-active Focus on Energy contract (2023-2026), which uses exactly this architecture: a base administrative role plus bonus payments tied to measurable KPIs.</w:t>
      </w:r>
    </w:p>
    <w:p>
      <w:pPr>
        <w:pStyle w:val="ListBullet"/>
      </w:pPr>
      <w:r>
        <w:t>The federal EECBG 10% cap is a citable, defensible floor reference for the base fee percentage — not a claim that this is what APTIM charges, but a legitimate industry benchmark to anchor the conversation.</w:t>
      </w:r>
    </w:p>
    <w:p>
      <w:pPr>
        <w:pStyle w:val="ListBullet"/>
      </w:pPr>
      <w:r>
        <w:t>The performance bonus would be tied to fleet uptime/dispatch reliability — a novel application of the SEERA-style bonus mechanism to a battery fleet specifically. This is a reasonable, source-grounded proposal, but it should be presented as a proposed design, not an existing precedent for battery programs.</w:t>
      </w:r>
    </w:p>
    <w:p>
      <w:pPr>
        <w:pStyle w:val="ListBullet"/>
      </w:pPr>
      <w:r>
        <w:t>The exact percentage is intentionally NOT fixed in this pitch — it would be proposed and negotiated at the RFP stage, consistent with how real utility program administration contracts are actually procured.</w:t>
      </w:r>
    </w:p>
    <w:p>
      <w:pPr>
        <w:pStyle w:val="Heading2"/>
      </w:pPr>
      <w:r>
        <w:rPr>
          <w:rFonts w:ascii="Arial" w:hAnsi="Arial"/>
          <w:b/>
          <w:color w:val="E87B22"/>
          <w:sz w:val="26"/>
        </w:rPr>
        <w:t>What This Means for the "Legalities + How Successful Programs Operate" Question</w:t>
      </w:r>
    </w:p>
    <w:p>
      <w:pPr>
        <w:pStyle w:val="ListBullet"/>
      </w:pPr>
      <w:r>
        <w:t>Legally, the cost recovery for the underlying battery/solar capital sits with the utility via rate base (Section 1) — that mechanism is well-established (GMP, Liberty NH precedent, Michigan's own March 2026 utility-scale battery approvals).</w:t>
      </w:r>
    </w:p>
    <w:p>
      <w:pPr>
        <w:pStyle w:val="ListBullet"/>
      </w:pPr>
      <w:r>
        <w:t>What is NOT yet settled is the specific MPSC docket mechanism for recovering costs of a NEW pilot program category under the U-21653 framework — this needs direct verification against the actual order text before the team commits to a specific recovery mechanism (rider vs. deferred accounting vs. rate-case true-up) in the pitch.</w:t>
      </w:r>
    </w:p>
    <w:p>
      <w:pPr>
        <w:pStyle w:val="ListBullet"/>
      </w:pPr>
      <w:r>
        <w:t>Recommendation: present the recovery mechanism as "to be structured through the U-21653 pilot filing process, following the pattern of rider-based or deferred-accounting recovery common to other MPSC-approved pilots" — defensible and honest without overclaiming a specific mechanism we haven't confirmed.</w:t>
      </w:r>
    </w:p>
    <w:p>
      <w:pPr>
        <w:pStyle w:val="Heading2"/>
      </w:pPr>
      <w:r>
        <w:rPr>
          <w:rFonts w:ascii="Arial" w:hAnsi="Arial"/>
          <w:b/>
          <w:color w:val="E87B22"/>
          <w:sz w:val="26"/>
        </w:rPr>
        <w:t>Updated QC Checklist Items (Add to Section 7)</w:t>
      </w:r>
    </w:p>
    <w:p>
      <w:pPr>
        <w:pStyle w:val="ListBullet"/>
      </w:pPr>
      <w:r>
        <w:t>MUST VERIFY: The correct MPSC case number for DTE's residential battery pilot rejection (NOT U-20561) and the Commission's actual stated rationale — pull directly from MPSC's ADMS document system (adms.apps.lara.state.mi.us) via browser, not automated fetch tools which were blocked.</w:t>
      </w:r>
    </w:p>
    <w:p>
      <w:pPr>
        <w:pStyle w:val="ListBullet"/>
      </w:pPr>
      <w:r>
        <w:t>MUST VERIFY: MPSC Case U-21653's actual cost-recovery mechanism for approved pilots (rider vs. deferred accounting vs. rate-case true-up) — the order approves an expedited APPROVAL process; it does not by itself confirm HOW costs are recovered.</w:t>
      </w:r>
    </w:p>
    <w:p>
      <w:pPr>
        <w:pStyle w:val="ListBullet"/>
      </w:pPr>
      <w:r>
        <w:t>SHOULD VERIFY: GMP's primary tariff filing for the exact capital-cost-vs-customer-payment reconciliation, if the team wants to cite a specific ratepayer/customer cost split rather than describing it qualitatively.</w:t>
      </w:r>
    </w:p>
    <w:p>
      <w:pPr>
        <w:pStyle w:val="ListBullet"/>
      </w:pPr>
      <w:r>
        <w:t>SHOULD VERIFY: The ACEEE "Cost of Saving Electricity" report, pulled directly, for any explicit administrative-cost-percentage figure, if the team wants a firmer benchmark than the federal EECBG 10% cap.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