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client-side Progressive Web App for keeping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On first use, existing legacy data is encrypted and verified before the old plaintext copies are removed. A passphrase is required each time the app opens. In Settings, a user can change the passphrase for the current local app copy by entering the existing passphrase and confirming a new passphrase of at least eight characters. The settings and contacts are decrypted, re-encrypted with fresh encryption metadata, verified, and replaced atomically. Other browser/Home Screen copies and already-exported backups are not changed. There is no passphrase recovery; losing the current passphrase before changing it makes that copy's encrypted records unreadable.</w:t>
      </w:r>
    </w:p>
    <w:p>
      <w:pPr>
        <w:pStyle w:val="Heading1"/>
      </w:pPr>
      <w:r>
        <w:t>3. First Use and Settings</w:t>
      </w:r>
    </w:p>
    <w:p>
      <w:pPr/>
      <w:r>
        <w:t>On first launch, create and confirm a passphrase of at least eight characters. On subsequent launches, enter that passphrase to unlock the database. To change it, open Settings, enter the current passphrase, and enter and confirm a new passphrase. Existing exported backups continue to use the passphrase with which each backup was created.</w:t>
      </w:r>
    </w:p>
    <w:p>
      <w:pPr/>
      <w:r>
        <w:t>Settings contains city, region, and area lists. Each region belongs to one city, and each area belongs to one region. Add regions under cities and areas under regions in Settings. The app does not provide a multi-state master list or location-based regional onboarding.</w:t>
      </w:r>
    </w:p>
    <w:p>
      <w:pPr>
        <w:pStyle w:val="Heading1"/>
      </w:pPr>
      <w:r>
        <w:t>4. Contact and Visit-Log Workflows</w:t>
      </w:r>
    </w:p>
    <w:p>
      <w:pPr/>
      <w:r>
        <w:t>A contact includes a stable unique ID, creation time, first name (required), optional last name, email, phone, street-address text, optional city, state, optional region and area, optional latitude and longitude, and visit history. Email and phone are optional; U.S. phone numbers use the format (555) 123-4567. A contact can have at most one city, one region, and one area. Region requires a city; area requires a region. Location fields can be completed or edited later without changing the contact ID. Different contacts may share the same name.</w:t>
      </w:r>
    </w:p>
    <w:p>
      <w:pPr/>
      <w:r>
        <w:t>A visit-log entry stores an ID, timestamp, display date, and note text. Logs display newest first and can be edited or deleted. New logs can be added from the contact form or quickly from a contact card. The card provides edit, encrypted export, print, navigate, and delete actions. Navigate opens Google Maps directions using saved coordinates when available, or the contact address otherwise.</w:t>
      </w:r>
    </w:p>
    <w:p>
      <w:pPr/>
      <w:r>
        <w:t>The contact list supports text search over names, email, phone, address, visit-note text, and assigned areas; urgency, city, region, and area filters; and newest-first, oldest-first, and first-name alphabetical sorting. City, region, and area filters follow the same hierarchy. Print Visible Contacts prints exactly the contacts shown by the current search and filters, confirms the count, groups each contact once under their most specific location, and includes available phone and email details plus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In the contact form, the user can choose Use Device Location to request device GPS or Set Pin from Entered Address to look up the entered street address, city, and state. GPS requests high accuracy with no cached location, but actual accuracy varies and is reported when available. If the street address is not found, the app tries to center the map near the selected city and state. The user can then enter a nearby cross-street or intersection and explicitly search for a closer pin. Pins can also be dragged on the Map view, where their new coordinates save automatically. The user can refine pins in the contact form by tapping the map, dragging the pin, or editing coordinates. Contact creation and editing do not request location automatically.</w:t>
      </w:r>
    </w:p>
    <w:p>
      <w:pPr/>
      <w:r>
        <w:t>Address and city searches are sent to OpenStreetMap Nominatim only after the user selects Set Pin from Entered Address. A cross-street or intersection query is sent only after the user selects Search Near Cross-Street. Device location requires browser permission. Map tiles and externally hosted Leaflet assets require an internet connection.</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Save and Exit actions in a sticky footer while the form area scrolls. Its sizing accounts for mobile viewport and safe-area constraints.</w:t>
      </w:r>
    </w:p>
    <w:p>
      <w:pPr>
        <w:pStyle w:val="Heading1"/>
      </w:pPr>
      <w:r>
        <w:t>6. Full-Data Backup and Restore</w:t>
      </w:r>
    </w:p>
    <w:p>
      <w:pPr/>
      <w:r>
        <w:t>Choose Settings → Export Data Backup to download an encrypted JSON backup of settings and all contacts. The backup is encrypted and requires its passphrase to restore. The browser chooses the download destination; the app cannot select a folder. On iPhone, check Files → Downloads; elsewhere, check the browser’s Downloads location.</w:t>
      </w:r>
    </w:p>
    <w:p>
      <w:pPr/>
      <w:r>
        <w:t>Restore can be started from Settings or from the first-use unlock screen on a new device. Enter the backup passphrase and confirm replacement when prompted. Restore replaces the current local dataset; on a fresh device, the restored backup passphrase becomes the passphrase used to unlock that data.</w:t>
      </w:r>
    </w:p>
    <w:p>
      <w:pPr/>
      <w:r>
        <w:t>Older unencrypted full-app backup files are supported with a warning and are encrypted when imported. Treat any legacy plaintext backup as sensitive and delete or securely store it after migration.</w:t>
      </w:r>
    </w:p>
    <w:p>
      <w:pPr/>
      <w:r>
        <w:t>The monthly reminder begins without an immediate first-run prompt and is shown only when the device contains at least one contact. It is a reminder to open Settings and export; it does not automatically create or upload backups.</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In Settings → Share a Contact, choose the encrypted file, enter its sharing passphrase, and confirm import. Import adds a new contact without replacing existing contacts, assigns a local ID, and stores it encrypted with the recipient device’s passphrase.</w:t>
      </w:r>
    </w:p>
    <w:p>
      <w:pPr>
        <w:pStyle w:val="Heading1"/>
      </w:pPr>
      <w:r>
        <w:t>8. Install, Offline Behavior, and Deployment</w:t>
      </w:r>
    </w:p>
    <w:p>
      <w:pPr/>
      <w:r>
        <w:t>The app can be used in a regular browser; PWA installation is optional. On iPhone, open the HTTPS site in Safari, use Share, then Add to Home Screen. On Android, use the browser’s Install app or Add to Home Screen option.</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