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or child location uses the entry; those assignments or children must be reassigned or removed first.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w:t>
      </w:r>
      <w:r>
        <w:t xml:space="preserve"> Street addresses and newly entered location names are capitalized when the user leaves the field or saves; recognized U.S. state names are stored as standard two-letter abbreviations, and state codes are uppercased.</w:t>
      </w:r>
    </w:p>
    <w:p>
      <w:pPr/>
      <w:r>
        <w:t>Address, partial street-name, and city searches are sent to OpenStreetMap Nominatim only after the user selects Find Address or City Pin.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