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static, browser-based contact and return-visit tracker delivered as an installable PWA.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No passphrase reset or recovery path exists.</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address, streetAddress, city, state, region, area, lat, lng, and notesHistory. firstName is required; other profile and location fields may be blank. A contact stores at most one city, one region, and one area. A region requires a city; an area requires a region. A contact ID does not change when its name or location changes. Separate phone and email properties are not part of the current UI.</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Log entries and full contacts can be edited or deleted through the available UI actions.</w:t>
      </w:r>
    </w:p>
    <w:p>
      <w:pPr>
        <w:pStyle w:val="Heading1"/>
      </w:pPr>
      <w:r>
        <w:t>4. Contact List, Search, Filters, and Sorting</w:t>
      </w:r>
    </w:p>
    <w:p>
      <w:pPr/>
      <w:r>
        <w:t>The main view is the contact list. Cards show contact name, address/location, elapsed days and urgency, visit history, quick-add note input, and edit, export, print, and delete actions. The contact edit modal provides a Print action for saved, unchanged records.</w:t>
      </w:r>
    </w:p>
    <w:p>
      <w:pPr/>
      <w:r>
        <w:t>Search matches first/last name, address, and visit-note text. Search does not include phone or email fields.</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GPS, enter a street address and select Find Address on Map, or set a location by tapping the map or dragging the pin.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GPS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Address text is sent to Nominatim only after the user explicitly initiates address lookup.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On iPhone, install from Safari using Share → Add to Home Screen; on Android, use the browser’s Install/Add to Home Screen action. Installing is optional; the website can also be used in a regular browser.</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add regions under a city and areas under a region.</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