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12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12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A random 25-character recovery code (base-32 alphabet without look-alike characters, 125 bits) is generated when a passphrase is set or changed and shown once; the encryption metadata gains a recovery field holding the passphrase encrypted with AES-GCM under a PBKDF2 key derived from the code. Typing the code in place of the passphrase (unlock, change, turn off, backup restore) unwraps the passphrase first. Backups embed the metadata, so the recovery field travels with them. Settings provides Make a New Recovery Code, which verifies the current passphrase. Losing both the passphrase and the code leaves the records unreadable.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all displayed markers when the Map opens,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 The reminder does not appear when there are no contacts and does not appear immediately on first use.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 Settings may also store an optional me object ({name, street, city, state, lat, lng}) edited in Settings ? Your Details. When valid coordinates are present, the Map renders a draggable house marker above the contact pins and includes it when fitting the viewport; dragging saves the new coordinates. getContactShareText appends 'Shared by &lt;name&gt;' when a name is set. The me object is part of full backups and the Settings printout and is not included in contact exports.</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