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How we travel for work.</w:t>
      </w:r>
    </w:p>
    <w:p>
      <w:pPr>
        <w:pStyle w:val="Heading2"/>
      </w:pPr>
      <w:r>
        <w:t>Trains</w:t>
      </w:r>
    </w:p>
    <w:p>
      <w:r>
        <w:t>Take the train for trips under 600 kilometres.</w:t>
      </w:r>
    </w:p>
    <w:p>
      <w:pPr>
        <w:pStyle w:val="Heading2"/>
      </w:pPr>
      <w:r>
        <w:t>Flights</w:t>
      </w:r>
    </w:p>
    <w:p>
      <w:r>
        <w:t>Book flights in economy through the travel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Grasp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