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49DE" w14:textId="4CB6F2FC" w:rsidR="00D5150C" w:rsidRDefault="00DB2B20">
      <w:pPr>
        <w:rPr>
          <w:rFonts w:ascii="Arial" w:hAnsi="Arial" w:cs="Arial"/>
        </w:rPr>
      </w:pPr>
      <w:r w:rsidRPr="001A20FC">
        <w:rPr>
          <w:rFonts w:ascii="Arial" w:hAnsi="Arial" w:cs="Arial"/>
        </w:rPr>
        <w:t>Název práce: Mobilní aplikace pro rozpoznávání zoologických zvířat.</w:t>
      </w:r>
    </w:p>
    <w:p w14:paraId="21948F41" w14:textId="597B1C59" w:rsidR="00175D12" w:rsidRPr="001A20FC" w:rsidRDefault="00175D12">
      <w:pPr>
        <w:rPr>
          <w:rFonts w:ascii="Arial" w:hAnsi="Arial" w:cs="Arial"/>
        </w:rPr>
      </w:pPr>
      <w:r>
        <w:rPr>
          <w:rFonts w:ascii="Arial" w:hAnsi="Arial" w:cs="Arial"/>
        </w:rPr>
        <w:t>Anotace:</w:t>
      </w:r>
    </w:p>
    <w:p w14:paraId="1FB062D1" w14:textId="244B8BBB" w:rsidR="00DB2B20" w:rsidRDefault="008A2CC8">
      <w:pPr>
        <w:rPr>
          <w:rFonts w:ascii="Arial" w:hAnsi="Arial" w:cs="Arial"/>
        </w:rPr>
      </w:pPr>
      <w:r w:rsidRPr="000A127E">
        <w:rPr>
          <w:rFonts w:ascii="Arial" w:hAnsi="Arial" w:cs="Arial"/>
        </w:rPr>
        <w:t xml:space="preserve">Bakalářská práce se zaměří na </w:t>
      </w:r>
      <w:r w:rsidR="00C95889">
        <w:rPr>
          <w:rFonts w:ascii="Arial" w:hAnsi="Arial" w:cs="Arial"/>
        </w:rPr>
        <w:t>rozpoznávání</w:t>
      </w:r>
      <w:r w:rsidRPr="000A127E">
        <w:rPr>
          <w:rFonts w:ascii="Arial" w:hAnsi="Arial" w:cs="Arial"/>
        </w:rPr>
        <w:t xml:space="preserve"> zoologických zvířat v obraze pomocí </w:t>
      </w:r>
      <w:r w:rsidR="000F6043" w:rsidRPr="000A127E">
        <w:rPr>
          <w:rFonts w:ascii="Arial" w:hAnsi="Arial" w:cs="Arial"/>
        </w:rPr>
        <w:t xml:space="preserve">Android </w:t>
      </w:r>
      <w:r w:rsidRPr="000A127E">
        <w:rPr>
          <w:rFonts w:ascii="Arial" w:hAnsi="Arial" w:cs="Arial"/>
        </w:rPr>
        <w:t xml:space="preserve">mobilní aplikace a fotoaparátu. Teoretická část se bude zabývat </w:t>
      </w:r>
      <w:r w:rsidR="0034506C" w:rsidRPr="000A127E">
        <w:rPr>
          <w:rFonts w:ascii="Arial" w:hAnsi="Arial" w:cs="Arial"/>
        </w:rPr>
        <w:t xml:space="preserve">popisem technologií, </w:t>
      </w:r>
      <w:r w:rsidR="00C3763E">
        <w:rPr>
          <w:rFonts w:ascii="Arial" w:hAnsi="Arial" w:cs="Arial"/>
        </w:rPr>
        <w:br/>
      </w:r>
      <w:r w:rsidR="0034506C" w:rsidRPr="000A127E">
        <w:rPr>
          <w:rFonts w:ascii="Arial" w:hAnsi="Arial" w:cs="Arial"/>
        </w:rPr>
        <w:t xml:space="preserve">které se </w:t>
      </w:r>
      <w:r w:rsidR="000F6043" w:rsidRPr="000A127E">
        <w:rPr>
          <w:rFonts w:ascii="Arial" w:hAnsi="Arial" w:cs="Arial"/>
        </w:rPr>
        <w:t xml:space="preserve">využívají </w:t>
      </w:r>
      <w:r w:rsidR="0034506C" w:rsidRPr="000A127E">
        <w:rPr>
          <w:rFonts w:ascii="Arial" w:hAnsi="Arial" w:cs="Arial"/>
        </w:rPr>
        <w:t xml:space="preserve">pro </w:t>
      </w:r>
      <w:r w:rsidR="000F6043" w:rsidRPr="000A127E">
        <w:rPr>
          <w:rFonts w:ascii="Arial" w:hAnsi="Arial" w:cs="Arial"/>
        </w:rPr>
        <w:t>řešení problémů s detekcí objektu v</w:t>
      </w:r>
      <w:r w:rsidR="00992203">
        <w:rPr>
          <w:rFonts w:ascii="Arial" w:hAnsi="Arial" w:cs="Arial"/>
        </w:rPr>
        <w:t> </w:t>
      </w:r>
      <w:r w:rsidR="000F6043" w:rsidRPr="000A127E">
        <w:rPr>
          <w:rFonts w:ascii="Arial" w:hAnsi="Arial" w:cs="Arial"/>
        </w:rPr>
        <w:t>obraze</w:t>
      </w:r>
      <w:r w:rsidR="00992203">
        <w:rPr>
          <w:rFonts w:ascii="Arial" w:hAnsi="Arial" w:cs="Arial"/>
        </w:rPr>
        <w:t>. Dále student</w:t>
      </w:r>
      <w:r w:rsidR="00523D7D">
        <w:rPr>
          <w:rFonts w:ascii="Arial" w:hAnsi="Arial" w:cs="Arial"/>
        </w:rPr>
        <w:t xml:space="preserve"> shrne možnosti</w:t>
      </w:r>
      <w:r w:rsidR="00992203">
        <w:rPr>
          <w:rFonts w:ascii="Arial" w:hAnsi="Arial" w:cs="Arial"/>
        </w:rPr>
        <w:t xml:space="preserve"> </w:t>
      </w:r>
      <w:r w:rsidR="00C3763E">
        <w:rPr>
          <w:rFonts w:ascii="Arial" w:hAnsi="Arial" w:cs="Arial"/>
        </w:rPr>
        <w:t xml:space="preserve">využití daných technologií v </w:t>
      </w:r>
      <w:r w:rsidR="00992203">
        <w:rPr>
          <w:rFonts w:ascii="Arial" w:hAnsi="Arial" w:cs="Arial"/>
        </w:rPr>
        <w:t>mobilních aplikací</w:t>
      </w:r>
      <w:r w:rsidR="00C3763E">
        <w:rPr>
          <w:rFonts w:ascii="Arial" w:hAnsi="Arial" w:cs="Arial"/>
        </w:rPr>
        <w:t xml:space="preserve"> a systémech</w:t>
      </w:r>
      <w:r w:rsidR="00C95889">
        <w:rPr>
          <w:rFonts w:ascii="Arial" w:hAnsi="Arial" w:cs="Arial"/>
        </w:rPr>
        <w:t xml:space="preserve"> a také představí framework </w:t>
      </w:r>
      <w:r w:rsidR="00484A6B">
        <w:rPr>
          <w:rFonts w:ascii="Arial" w:hAnsi="Arial" w:cs="Arial"/>
        </w:rPr>
        <w:t>Jetpack Compose</w:t>
      </w:r>
      <w:r w:rsidR="00484A6B">
        <w:rPr>
          <w:rFonts w:ascii="Arial" w:hAnsi="Arial" w:cs="Arial"/>
        </w:rPr>
        <w:t xml:space="preserve"> </w:t>
      </w:r>
      <w:r w:rsidR="00C95889">
        <w:rPr>
          <w:rFonts w:ascii="Arial" w:hAnsi="Arial" w:cs="Arial"/>
        </w:rPr>
        <w:t>pro vývoj nativních Android aplikací</w:t>
      </w:r>
      <w:r w:rsidR="000F6043" w:rsidRPr="000A127E">
        <w:rPr>
          <w:rFonts w:ascii="Arial" w:hAnsi="Arial" w:cs="Arial"/>
        </w:rPr>
        <w:t>.</w:t>
      </w:r>
      <w:r w:rsidR="0034506C" w:rsidRPr="000A127E">
        <w:rPr>
          <w:rFonts w:ascii="Arial" w:hAnsi="Arial" w:cs="Arial"/>
        </w:rPr>
        <w:t xml:space="preserve"> </w:t>
      </w:r>
      <w:r w:rsidR="000F6043" w:rsidRPr="000A127E">
        <w:rPr>
          <w:rFonts w:ascii="Arial" w:hAnsi="Arial" w:cs="Arial"/>
        </w:rPr>
        <w:t xml:space="preserve">V rámci praktické části </w:t>
      </w:r>
      <w:r w:rsidR="00BD73A0" w:rsidRPr="000A127E">
        <w:rPr>
          <w:rFonts w:ascii="Arial" w:hAnsi="Arial" w:cs="Arial"/>
        </w:rPr>
        <w:t>student</w:t>
      </w:r>
      <w:r w:rsidR="00C3763E">
        <w:rPr>
          <w:rFonts w:ascii="Arial" w:hAnsi="Arial" w:cs="Arial"/>
        </w:rPr>
        <w:t xml:space="preserve"> navrhne a</w:t>
      </w:r>
      <w:r w:rsidR="00BD73A0" w:rsidRPr="000A127E">
        <w:rPr>
          <w:rFonts w:ascii="Arial" w:hAnsi="Arial" w:cs="Arial"/>
        </w:rPr>
        <w:t xml:space="preserve"> </w:t>
      </w:r>
      <w:r w:rsidR="000D58A6" w:rsidRPr="000A127E">
        <w:rPr>
          <w:rFonts w:ascii="Arial" w:hAnsi="Arial" w:cs="Arial"/>
        </w:rPr>
        <w:t xml:space="preserve">naprogramuje </w:t>
      </w:r>
      <w:r w:rsidR="00BD73A0" w:rsidRPr="000A127E">
        <w:rPr>
          <w:rFonts w:ascii="Arial" w:hAnsi="Arial" w:cs="Arial"/>
        </w:rPr>
        <w:t xml:space="preserve">mobilní aplikaci pro systém Android, která bude schopna pomocí mobilní kamery snímat obraz a v něm detekovat </w:t>
      </w:r>
      <w:r w:rsidR="000D58A6" w:rsidRPr="000A127E">
        <w:rPr>
          <w:rFonts w:ascii="Arial" w:hAnsi="Arial" w:cs="Arial"/>
        </w:rPr>
        <w:t>určená zvířata. Dále připraví</w:t>
      </w:r>
      <w:r w:rsidR="00BD73A0" w:rsidRPr="000A127E">
        <w:rPr>
          <w:rFonts w:ascii="Arial" w:hAnsi="Arial" w:cs="Arial"/>
        </w:rPr>
        <w:t xml:space="preserve"> dataset </w:t>
      </w:r>
      <w:r w:rsidR="000D58A6" w:rsidRPr="000A127E">
        <w:rPr>
          <w:rFonts w:ascii="Arial" w:hAnsi="Arial" w:cs="Arial"/>
        </w:rPr>
        <w:t xml:space="preserve">těchto </w:t>
      </w:r>
      <w:r w:rsidR="00BD73A0" w:rsidRPr="000A127E">
        <w:rPr>
          <w:rFonts w:ascii="Arial" w:hAnsi="Arial" w:cs="Arial"/>
        </w:rPr>
        <w:t>zvířat</w:t>
      </w:r>
      <w:r w:rsidR="000D58A6" w:rsidRPr="000A127E">
        <w:rPr>
          <w:rFonts w:ascii="Arial" w:hAnsi="Arial" w:cs="Arial"/>
        </w:rPr>
        <w:t xml:space="preserve"> a z něj za pomocí knihoven vytvoří TensorFlow Lite model schopný tyto zvířata rozpoznat. </w:t>
      </w:r>
      <w:r w:rsidR="00C95889">
        <w:rPr>
          <w:rFonts w:ascii="Arial" w:hAnsi="Arial" w:cs="Arial"/>
        </w:rPr>
        <w:t>Výsledkem práce bude funkční</w:t>
      </w:r>
      <w:r w:rsidR="001A20FC" w:rsidRPr="000A127E">
        <w:rPr>
          <w:rFonts w:ascii="Arial" w:hAnsi="Arial" w:cs="Arial"/>
        </w:rPr>
        <w:t xml:space="preserve"> mobilní aplikace, jejíž hlavním úkolem bude rozpoznat zvíře za pomocí živého obrazu mobilní kamery nebo z vybrané fotografie</w:t>
      </w:r>
      <w:r w:rsidR="002C3A9F">
        <w:rPr>
          <w:rFonts w:ascii="Arial" w:hAnsi="Arial" w:cs="Arial"/>
        </w:rPr>
        <w:t xml:space="preserve"> a tím může posloužit jako rychlý průvodce v zoologických zahradách</w:t>
      </w:r>
      <w:r w:rsidR="001A20FC" w:rsidRPr="000A127E">
        <w:rPr>
          <w:rFonts w:ascii="Arial" w:hAnsi="Arial" w:cs="Arial"/>
        </w:rPr>
        <w:t>.</w:t>
      </w:r>
    </w:p>
    <w:p w14:paraId="3559EA67" w14:textId="7E8F0EAF" w:rsidR="00F83DDC" w:rsidRPr="00F83DDC" w:rsidRDefault="00175D12" w:rsidP="00F83DDC">
      <w:pPr>
        <w:rPr>
          <w:rFonts w:ascii="Arial" w:hAnsi="Arial" w:cs="Arial"/>
        </w:rPr>
      </w:pPr>
      <w:r>
        <w:rPr>
          <w:rFonts w:ascii="Arial" w:hAnsi="Arial" w:cs="Arial"/>
        </w:rPr>
        <w:t>Zdroje:</w:t>
      </w:r>
    </w:p>
    <w:sdt>
      <w:sdtPr>
        <w:id w:val="-1780944453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1DBF9CAA" w14:textId="3B49E993" w:rsidR="002232CC" w:rsidRDefault="00F83DDC" w:rsidP="00C95889">
              <w:pPr>
                <w:rPr>
                  <w:b/>
                  <w:bCs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232CC">
                <w:rPr>
                  <w:noProof/>
                </w:rPr>
                <w:t xml:space="preserve">1. </w:t>
              </w:r>
              <w:r w:rsidR="002232CC">
                <w:rPr>
                  <w:b/>
                  <w:bCs/>
                  <w:i/>
                  <w:iCs/>
                  <w:noProof/>
                </w:rPr>
                <w:t xml:space="preserve">TensorFlow Lite. TensorFlow [online]. [cit. 2022-09-18]. Dostupné z: https://www.tensorflow.org/lite/android. </w:t>
              </w:r>
            </w:p>
            <w:p w14:paraId="5AE9DAA8" w14:textId="77777777" w:rsidR="002232CC" w:rsidRDefault="002232CC" w:rsidP="00223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2. </w:t>
              </w:r>
              <w:r>
                <w:rPr>
                  <w:b/>
                  <w:bCs/>
                  <w:i/>
                  <w:iCs/>
                  <w:noProof/>
                </w:rPr>
                <w:t xml:space="preserve">Jetpack Compose. Android Developers [online]. [cit. 2022-09-18]. Dostupné z: https://developer.android.com/jetpack/compose. </w:t>
              </w:r>
            </w:p>
            <w:p w14:paraId="58764203" w14:textId="77777777" w:rsidR="002232CC" w:rsidRDefault="002232CC" w:rsidP="00223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</w:t>
              </w:r>
              <w:r>
                <w:rPr>
                  <w:b/>
                  <w:bCs/>
                  <w:i/>
                  <w:iCs/>
                  <w:noProof/>
                </w:rPr>
                <w:t xml:space="preserve">Klasifikace obrazu. TensorFlow [online]. [cit. 2022-09-18]. Dostupné z: https://www.tensorflow.org/tutorials/images/classification. </w:t>
              </w:r>
            </w:p>
            <w:p w14:paraId="4BCF44E8" w14:textId="77777777" w:rsidR="002232CC" w:rsidRDefault="002232CC" w:rsidP="00223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</w:t>
              </w:r>
              <w:r>
                <w:rPr>
                  <w:b/>
                  <w:bCs/>
                  <w:i/>
                  <w:iCs/>
                  <w:noProof/>
                </w:rPr>
                <w:t xml:space="preserve">Augmentace dat. Nanonets [online]. [cit. 2022-09-18]. Dostupné z: https://nanonets.com/blog/data-augmentation-how-to-use-deep-learning-when-you-have-limited-data-part-2/. </w:t>
              </w:r>
            </w:p>
            <w:p w14:paraId="69934D9F" w14:textId="77777777" w:rsidR="002232CC" w:rsidRDefault="002232CC" w:rsidP="002232CC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</w:t>
              </w:r>
              <w:r>
                <w:rPr>
                  <w:b/>
                  <w:bCs/>
                  <w:i/>
                  <w:iCs/>
                  <w:noProof/>
                </w:rPr>
                <w:t xml:space="preserve">Konvoluční neuronové sítě. IBM [online]. [cit. 2022-09-18]. Dostupné z: https://www.ibm.com/cloud/learn/convolutional-neural-networks. </w:t>
              </w:r>
            </w:p>
            <w:p w14:paraId="55824DA7" w14:textId="35050311" w:rsidR="00F83DDC" w:rsidRDefault="00F83DDC" w:rsidP="002232C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2BF715D" w14:textId="59AFFE2D" w:rsidR="00F83DDC" w:rsidRPr="000A127E" w:rsidRDefault="00F83DDC">
      <w:pPr>
        <w:rPr>
          <w:rFonts w:ascii="Arial" w:hAnsi="Arial" w:cs="Arial"/>
        </w:rPr>
      </w:pPr>
    </w:p>
    <w:p w14:paraId="27B1C8A7" w14:textId="1AAC050C" w:rsidR="001A20FC" w:rsidRDefault="001A20FC"/>
    <w:sectPr w:rsidR="001A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20"/>
    <w:rsid w:val="000A127E"/>
    <w:rsid w:val="000D58A6"/>
    <w:rsid w:val="000F6043"/>
    <w:rsid w:val="00175D12"/>
    <w:rsid w:val="001A20FC"/>
    <w:rsid w:val="002232CC"/>
    <w:rsid w:val="002C3A9F"/>
    <w:rsid w:val="0034506C"/>
    <w:rsid w:val="00484A6B"/>
    <w:rsid w:val="00523D7D"/>
    <w:rsid w:val="006505D2"/>
    <w:rsid w:val="00835B56"/>
    <w:rsid w:val="008A2CC8"/>
    <w:rsid w:val="00920263"/>
    <w:rsid w:val="00992203"/>
    <w:rsid w:val="00BD73A0"/>
    <w:rsid w:val="00C3763E"/>
    <w:rsid w:val="00C95889"/>
    <w:rsid w:val="00D5150C"/>
    <w:rsid w:val="00DB2B20"/>
    <w:rsid w:val="00F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84CD"/>
  <w15:chartTrackingRefBased/>
  <w15:docId w15:val="{52838E5E-BED4-454B-8DD6-4B779BAA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3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D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F8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Ten</b:Tag>
    <b:SourceType>Book</b:SourceType>
    <b:Guid>{59441C82-C22B-4672-8B25-EB03606B7F01}</b:Guid>
    <b:Title>TensorFlow Lite. TensorFlow [online]. [cit. 2022-09-18]. Dostupné z: https://www.tensorflow.org/lite/android</b:Title>
    <b:RefOrder>1</b:RefOrder>
  </b:Source>
  <b:Source>
    <b:Tag>Jet</b:Tag>
    <b:SourceType>Book</b:SourceType>
    <b:Guid>{2938BCB8-DC55-412E-9C4F-CE1113D04338}</b:Guid>
    <b:Title>Jetpack Compose. Android Developers [online]. [cit. 2022-09-18]. Dostupné z: https://developer.android.com/jetpack/compose</b:Title>
    <b:RefOrder>2</b:RefOrder>
  </b:Source>
  <b:Source>
    <b:Tag>Kla</b:Tag>
    <b:SourceType>Book</b:SourceType>
    <b:Guid>{48FBF08B-C917-4F0A-8945-B5B11449BA7F}</b:Guid>
    <b:Title>Klasifikace obrazu. TensorFlow [online]. [cit. 2022-09-18]. Dostupné z: https://www.tensorflow.org/tutorials/images/classification</b:Title>
    <b:RefOrder>3</b:RefOrder>
  </b:Source>
  <b:Source>
    <b:Tag>Aug</b:Tag>
    <b:SourceType>Book</b:SourceType>
    <b:Guid>{4D77AEA7-0E0A-42DC-AE49-E96108398E4E}</b:Guid>
    <b:Title>Augmentace dat. Nanonets [online]. [cit. 2022-09-18]. Dostupné z: https://nanonets.com/blog/data-augmentation-how-to-use-deep-learning-when-you-have-limited-data-part-2/</b:Title>
    <b:RefOrder>4</b:RefOrder>
  </b:Source>
  <b:Source>
    <b:Tag>Kon</b:Tag>
    <b:SourceType>Book</b:SourceType>
    <b:Guid>{B8A66E90-5798-4693-A364-C640F7427F96}</b:Guid>
    <b:Title>Konvoluční neuronové sítě. IBM [online]. [cit. 2022-09-18]. Dostupné z: https://www.ibm.com/cloud/learn/convolutional-neural-networks</b:Title>
    <b:RefOrder>5</b:RefOrder>
  </b:Source>
</b:Sources>
</file>

<file path=customXml/itemProps1.xml><?xml version="1.0" encoding="utf-8"?>
<ds:datastoreItem xmlns:ds="http://schemas.openxmlformats.org/officeDocument/2006/customXml" ds:itemID="{97EBCB36-C344-4FCA-9C98-4646AD3A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251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Daberger</dc:creator>
  <cp:keywords/>
  <dc:description/>
  <cp:lastModifiedBy>Jiří Daberger</cp:lastModifiedBy>
  <cp:revision>5</cp:revision>
  <dcterms:created xsi:type="dcterms:W3CDTF">2022-09-18T15:15:00Z</dcterms:created>
  <dcterms:modified xsi:type="dcterms:W3CDTF">2022-09-23T09:31:00Z</dcterms:modified>
</cp:coreProperties>
</file>