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4E" w:rsidRPr="007E21EC" w:rsidRDefault="00396DC8" w:rsidP="00246A4E">
      <w:pPr>
        <w:tabs>
          <w:tab w:val="left" w:pos="1615"/>
        </w:tabs>
        <w:spacing w:line="360" w:lineRule="auto"/>
        <w:jc w:val="both"/>
        <w:rPr>
          <w:rFonts w:ascii="Arial Narrow" w:eastAsia="Calibri" w:hAnsi="Arial Narrow" w:cs="Times New Roman"/>
          <w:sz w:val="24"/>
          <w:szCs w:val="24"/>
          <w:lang w:val="en-US"/>
        </w:rPr>
      </w:pPr>
      <w:r>
        <w:rPr>
          <w:rFonts w:ascii="Arial Narrow" w:eastAsia="Calibri" w:hAnsi="Arial Narrow" w:cs="Arial Narrow"/>
          <w:b/>
          <w:sz w:val="24"/>
          <w:szCs w:val="24"/>
          <w:lang w:val="en-US" w:eastAsia="zh-CN"/>
        </w:rPr>
        <w:t xml:space="preserve">Supplementary Table </w:t>
      </w:r>
      <w:r w:rsidR="00A6345D">
        <w:rPr>
          <w:rFonts w:ascii="Arial Narrow" w:eastAsia="Calibri" w:hAnsi="Arial Narrow" w:cs="Arial Narrow"/>
          <w:b/>
          <w:sz w:val="24"/>
          <w:szCs w:val="24"/>
          <w:lang w:val="en-US" w:eastAsia="zh-CN"/>
        </w:rPr>
        <w:t>6</w:t>
      </w:r>
      <w:r w:rsidR="00D12A31">
        <w:rPr>
          <w:rFonts w:ascii="Arial Narrow" w:eastAsia="Calibri" w:hAnsi="Arial Narrow" w:cs="Arial Narrow"/>
          <w:b/>
          <w:sz w:val="24"/>
          <w:szCs w:val="24"/>
          <w:lang w:val="en-US" w:eastAsia="zh-CN"/>
        </w:rPr>
        <w:t>:</w:t>
      </w:r>
      <w:r w:rsidR="00246A4E">
        <w:rPr>
          <w:rFonts w:ascii="Arial Narrow" w:eastAsia="Calibri" w:hAnsi="Arial Narrow" w:cs="Arial Narrow"/>
          <w:b/>
          <w:sz w:val="24"/>
          <w:szCs w:val="24"/>
          <w:lang w:val="en-US" w:eastAsia="zh-CN"/>
        </w:rPr>
        <w:t xml:space="preserve"> </w:t>
      </w:r>
      <w:r w:rsidR="00246A4E" w:rsidRPr="007E21EC">
        <w:rPr>
          <w:rFonts w:ascii="Arial Narrow" w:eastAsia="Calibri" w:hAnsi="Arial Narrow" w:cs="Times New Roman"/>
          <w:b/>
          <w:sz w:val="24"/>
          <w:szCs w:val="24"/>
          <w:lang w:val="en-US"/>
        </w:rPr>
        <w:t xml:space="preserve">Principal component analysis (PCA) of the normalized spectral counts of identified extracellular proteins. </w:t>
      </w:r>
      <w:r w:rsidR="00246A4E" w:rsidRPr="002D5B54">
        <w:rPr>
          <w:rFonts w:ascii="Arial Narrow" w:eastAsia="Calibri" w:hAnsi="Arial Narrow" w:cs="Times New Roman"/>
          <w:sz w:val="24"/>
          <w:szCs w:val="24"/>
          <w:lang w:val="en-US"/>
        </w:rPr>
        <w:t>C</w:t>
      </w:r>
      <w:r w:rsidR="00246A4E" w:rsidRPr="007E21EC">
        <w:rPr>
          <w:rFonts w:ascii="Arial Narrow" w:eastAsia="Calibri" w:hAnsi="Arial Narrow" w:cs="Times New Roman"/>
          <w:sz w:val="24"/>
          <w:szCs w:val="24"/>
          <w:lang w:val="en-US"/>
        </w:rPr>
        <w:t xml:space="preserve">omputation of the component loading for the different extracellular proteins based on their predicted subcellular localization.  </w:t>
      </w:r>
      <w:r w:rsidR="00246A4E">
        <w:rPr>
          <w:rFonts w:ascii="Arial Narrow" w:eastAsia="Calibri" w:hAnsi="Arial Narrow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366" w:type="dxa"/>
        <w:tblLayout w:type="fixed"/>
        <w:tblLook w:val="04A0" w:firstRow="1" w:lastRow="0" w:firstColumn="1" w:lastColumn="0" w:noHBand="0" w:noVBand="1"/>
      </w:tblPr>
      <w:tblGrid>
        <w:gridCol w:w="950"/>
        <w:gridCol w:w="718"/>
        <w:gridCol w:w="850"/>
        <w:gridCol w:w="284"/>
        <w:gridCol w:w="1417"/>
        <w:gridCol w:w="284"/>
        <w:gridCol w:w="1559"/>
        <w:gridCol w:w="283"/>
        <w:gridCol w:w="1276"/>
        <w:gridCol w:w="709"/>
      </w:tblGrid>
      <w:tr w:rsidR="00246A4E" w:rsidTr="007807DD">
        <w:tc>
          <w:tcPr>
            <w:tcW w:w="950" w:type="dxa"/>
          </w:tcPr>
          <w:p w:rsidR="00246A4E" w:rsidRPr="007129B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  <w:r w:rsidRPr="007129BE">
              <w:rPr>
                <w:rFonts w:ascii="Arial Narrow" w:hAnsi="Arial Narrow"/>
                <w:b/>
                <w:sz w:val="24"/>
                <w:szCs w:val="24"/>
                <w:lang w:val="en-US"/>
              </w:rPr>
              <w:t>Isolates</w:t>
            </w:r>
          </w:p>
        </w:tc>
        <w:tc>
          <w:tcPr>
            <w:tcW w:w="1568" w:type="dxa"/>
            <w:gridSpan w:val="2"/>
          </w:tcPr>
          <w:p w:rsidR="00246A4E" w:rsidRPr="007129B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  <w:r w:rsidRPr="007129BE">
              <w:rPr>
                <w:rFonts w:ascii="Arial Narrow" w:hAnsi="Arial Narrow"/>
                <w:b/>
                <w:sz w:val="24"/>
                <w:szCs w:val="24"/>
                <w:lang w:val="en-US"/>
              </w:rPr>
              <w:t>Component</w:t>
            </w:r>
            <w:r w:rsidR="00F96CE7">
              <w:rPr>
                <w:rFonts w:ascii="Arial Narrow" w:hAnsi="Arial Narrow"/>
                <w:b/>
                <w:sz w:val="24"/>
                <w:szCs w:val="24"/>
                <w:lang w:val="en-US"/>
              </w:rPr>
              <w:t>s</w:t>
            </w:r>
            <w:bookmarkStart w:id="0" w:name="_GoBack"/>
            <w:bookmarkEnd w:id="0"/>
            <w:r w:rsidRPr="007129BE">
              <w:rPr>
                <w:rFonts w:ascii="Arial Narrow" w:hAnsi="Arial Narrow"/>
                <w:b/>
                <w:sz w:val="24"/>
                <w:szCs w:val="24"/>
                <w:vertAlign w:val="superscript"/>
                <w:lang w:val="en-US"/>
              </w:rPr>
              <w:t>a</w:t>
            </w:r>
          </w:p>
        </w:tc>
        <w:tc>
          <w:tcPr>
            <w:tcW w:w="284" w:type="dxa"/>
            <w:vMerge w:val="restart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 w:val="restart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proofErr w:type="spellStart"/>
            <w:r w:rsidRPr="00DF29A8">
              <w:rPr>
                <w:rFonts w:ascii="Arial Narrow" w:hAnsi="Arial Narrow"/>
                <w:b/>
                <w:sz w:val="24"/>
                <w:szCs w:val="24"/>
                <w:lang w:val="en-US"/>
              </w:rPr>
              <w:t>Component</w:t>
            </w:r>
            <w:r w:rsidRPr="007129BE">
              <w:rPr>
                <w:rFonts w:ascii="Arial Narrow" w:hAnsi="Arial Narrow"/>
                <w:b/>
                <w:sz w:val="24"/>
                <w:szCs w:val="24"/>
                <w:vertAlign w:val="superscript"/>
                <w:lang w:val="en-US"/>
              </w:rPr>
              <w:t>b</w:t>
            </w:r>
            <w:proofErr w:type="spellEnd"/>
          </w:p>
        </w:tc>
        <w:tc>
          <w:tcPr>
            <w:tcW w:w="284" w:type="dxa"/>
            <w:vMerge w:val="restart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 w:val="restart"/>
          </w:tcPr>
          <w:p w:rsidR="00246A4E" w:rsidRPr="007129BE" w:rsidRDefault="00246A4E" w:rsidP="00F96CE7">
            <w:pPr>
              <w:tabs>
                <w:tab w:val="left" w:pos="2222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  <w:proofErr w:type="spellStart"/>
            <w:r w:rsidRPr="007129BE">
              <w:rPr>
                <w:rFonts w:ascii="Arial Narrow" w:hAnsi="Arial Narrow"/>
                <w:b/>
                <w:sz w:val="24"/>
                <w:szCs w:val="24"/>
                <w:lang w:val="en-US"/>
              </w:rPr>
              <w:t>Component</w:t>
            </w:r>
            <w:r w:rsidRPr="007129BE">
              <w:rPr>
                <w:rFonts w:ascii="Arial Narrow" w:hAnsi="Arial Narrow"/>
                <w:b/>
                <w:sz w:val="24"/>
                <w:szCs w:val="24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2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proofErr w:type="spellStart"/>
            <w:r w:rsidRPr="007129BE">
              <w:rPr>
                <w:rFonts w:ascii="Arial Narrow" w:hAnsi="Arial Narrow"/>
                <w:b/>
                <w:sz w:val="24"/>
                <w:szCs w:val="24"/>
                <w:lang w:val="en-US"/>
              </w:rPr>
              <w:t>Components</w:t>
            </w:r>
            <w:r>
              <w:rPr>
                <w:rFonts w:ascii="Arial Narrow" w:hAnsi="Arial Narrow"/>
                <w:b/>
                <w:sz w:val="24"/>
                <w:szCs w:val="24"/>
                <w:vertAlign w:val="superscript"/>
                <w:lang w:val="en-US"/>
              </w:rPr>
              <w:t>d</w:t>
            </w:r>
            <w:proofErr w:type="spellEnd"/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718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</w:p>
        </w:tc>
        <w:tc>
          <w:tcPr>
            <w:tcW w:w="284" w:type="dxa"/>
            <w:vMerge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</w:tcPr>
          <w:p w:rsidR="00246A4E" w:rsidRPr="00DF29A8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vMerge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D3</w:t>
            </w:r>
          </w:p>
        </w:tc>
        <w:tc>
          <w:tcPr>
            <w:tcW w:w="718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0.806</w:t>
            </w:r>
          </w:p>
        </w:tc>
        <w:tc>
          <w:tcPr>
            <w:tcW w:w="8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0.52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945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076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0.797</w:t>
            </w:r>
          </w:p>
        </w:tc>
        <w:tc>
          <w:tcPr>
            <w:tcW w:w="709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0.54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D17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761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56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94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076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632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696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D22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824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424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948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076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484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764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D30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814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429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881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071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805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488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D53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904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371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952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077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856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455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D66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749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586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946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076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775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565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D15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411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865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898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072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317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875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D29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739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391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751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06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839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48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D32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478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823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907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073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331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905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D37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399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893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929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075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363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897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D61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606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625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964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078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895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261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D69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354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896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917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074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431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819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E75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759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539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923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074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89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405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E166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832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347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832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067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921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324</w:t>
            </w:r>
          </w:p>
        </w:tc>
      </w:tr>
      <w:tr w:rsidR="00246A4E" w:rsidTr="007807DD">
        <w:tc>
          <w:tcPr>
            <w:tcW w:w="950" w:type="dxa"/>
          </w:tcPr>
          <w:p w:rsidR="00246A4E" w:rsidRDefault="00246A4E" w:rsidP="007807DD">
            <w:pPr>
              <w:tabs>
                <w:tab w:val="left" w:pos="2222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E276</w:t>
            </w:r>
          </w:p>
        </w:tc>
        <w:tc>
          <w:tcPr>
            <w:tcW w:w="718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842</w:t>
            </w:r>
          </w:p>
        </w:tc>
        <w:tc>
          <w:tcPr>
            <w:tcW w:w="850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309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46A4E" w:rsidRDefault="00246A4E" w:rsidP="007807DD">
            <w:pPr>
              <w:jc w:val="center"/>
            </w:pPr>
            <w:r w:rsidRPr="00DF14AB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888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46A4E" w:rsidRDefault="00246A4E" w:rsidP="007807DD">
            <w:pPr>
              <w:jc w:val="center"/>
            </w:pPr>
            <w:r w:rsidRPr="00424991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072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246A4E" w:rsidRDefault="00246A4E" w:rsidP="007807DD">
            <w:pPr>
              <w:tabs>
                <w:tab w:val="left" w:pos="2222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571</w:t>
            </w:r>
          </w:p>
        </w:tc>
        <w:tc>
          <w:tcPr>
            <w:tcW w:w="709" w:type="dxa"/>
          </w:tcPr>
          <w:p w:rsidR="00246A4E" w:rsidRDefault="00246A4E" w:rsidP="007807DD">
            <w:pPr>
              <w:jc w:val="center"/>
            </w:pPr>
            <w:r w:rsidRPr="003C07C0">
              <w:rPr>
                <w:rFonts w:ascii="Arial Narrow" w:hAnsi="Arial Narrow"/>
                <w:sz w:val="24"/>
                <w:szCs w:val="24"/>
                <w:lang w:val="en-US"/>
              </w:rPr>
              <w:t>0.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669</w:t>
            </w:r>
          </w:p>
        </w:tc>
      </w:tr>
    </w:tbl>
    <w:p w:rsidR="00246A4E" w:rsidRPr="002D6A1B" w:rsidRDefault="00246A4E" w:rsidP="00246A4E">
      <w:pPr>
        <w:tabs>
          <w:tab w:val="left" w:pos="2222"/>
        </w:tabs>
        <w:spacing w:before="240"/>
        <w:jc w:val="both"/>
        <w:rPr>
          <w:rFonts w:ascii="Arial Narrow" w:hAnsi="Arial Narrow"/>
          <w:sz w:val="24"/>
          <w:szCs w:val="24"/>
          <w:lang w:val="en-US"/>
        </w:rPr>
      </w:pPr>
      <w:r w:rsidRPr="002D6A1B">
        <w:rPr>
          <w:rFonts w:ascii="Arial Narrow" w:hAnsi="Arial Narrow"/>
          <w:sz w:val="24"/>
          <w:szCs w:val="24"/>
          <w:lang w:val="en-US"/>
        </w:rPr>
        <w:t>Component</w:t>
      </w:r>
      <w:r w:rsidRPr="002D6A1B">
        <w:rPr>
          <w:rFonts w:ascii="Arial Narrow" w:hAnsi="Arial Narrow"/>
          <w:b/>
          <w:sz w:val="24"/>
          <w:szCs w:val="24"/>
          <w:vertAlign w:val="superscript"/>
          <w:lang w:val="en-US"/>
        </w:rPr>
        <w:t>a</w:t>
      </w:r>
      <w:r>
        <w:rPr>
          <w:rFonts w:ascii="Arial Narrow" w:hAnsi="Arial Narrow"/>
          <w:sz w:val="24"/>
          <w:szCs w:val="24"/>
          <w:lang w:val="en-US"/>
        </w:rPr>
        <w:t xml:space="preserve">, </w:t>
      </w:r>
      <w:r w:rsidRPr="002D6A1B">
        <w:rPr>
          <w:rFonts w:ascii="Arial Narrow" w:hAnsi="Arial Narrow"/>
          <w:sz w:val="24"/>
          <w:szCs w:val="24"/>
          <w:lang w:val="en-US"/>
        </w:rPr>
        <w:t>all proteins</w:t>
      </w:r>
      <w:r>
        <w:rPr>
          <w:rFonts w:ascii="Arial Narrow" w:hAnsi="Arial Narrow"/>
          <w:sz w:val="24"/>
          <w:szCs w:val="24"/>
          <w:lang w:val="en-US"/>
        </w:rPr>
        <w:t>;</w:t>
      </w:r>
      <w:r w:rsidRPr="002D6A1B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</w:t>
      </w:r>
      <w:r w:rsidRPr="002D6A1B">
        <w:rPr>
          <w:rFonts w:ascii="Arial Narrow" w:hAnsi="Arial Narrow"/>
          <w:sz w:val="24"/>
          <w:szCs w:val="24"/>
          <w:lang w:val="en-US"/>
        </w:rPr>
        <w:t>omponent</w:t>
      </w:r>
      <w:r w:rsidRPr="002D6A1B">
        <w:rPr>
          <w:rFonts w:ascii="Arial Narrow" w:hAnsi="Arial Narrow"/>
          <w:b/>
          <w:sz w:val="24"/>
          <w:szCs w:val="24"/>
          <w:vertAlign w:val="superscript"/>
          <w:lang w:val="en-US"/>
        </w:rPr>
        <w:t>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r w:rsidRPr="002D6A1B">
        <w:rPr>
          <w:rFonts w:ascii="Arial Narrow" w:hAnsi="Arial Narrow"/>
          <w:sz w:val="24"/>
          <w:szCs w:val="24"/>
          <w:lang w:val="en-US"/>
        </w:rPr>
        <w:t>cytoplasmic proteins removed</w:t>
      </w:r>
      <w:r>
        <w:rPr>
          <w:rFonts w:ascii="Arial Narrow" w:hAnsi="Arial Narrow"/>
          <w:sz w:val="24"/>
          <w:szCs w:val="24"/>
          <w:lang w:val="en-US"/>
        </w:rPr>
        <w:t>;</w:t>
      </w:r>
      <w:r w:rsidRPr="002D6A1B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</w:t>
      </w:r>
      <w:r w:rsidRPr="002D6A1B">
        <w:rPr>
          <w:rFonts w:ascii="Arial Narrow" w:hAnsi="Arial Narrow"/>
          <w:sz w:val="24"/>
          <w:szCs w:val="24"/>
          <w:lang w:val="en-US"/>
        </w:rPr>
        <w:t>omponent</w:t>
      </w:r>
      <w:r w:rsidRPr="002D6A1B">
        <w:rPr>
          <w:rFonts w:ascii="Arial Narrow" w:hAnsi="Arial Narrow"/>
          <w:b/>
          <w:sz w:val="24"/>
          <w:szCs w:val="24"/>
          <w:vertAlign w:val="superscript"/>
          <w:lang w:val="en-US"/>
        </w:rPr>
        <w:t>c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r w:rsidRPr="002D6A1B">
        <w:rPr>
          <w:rFonts w:ascii="Arial Narrow" w:hAnsi="Arial Narrow"/>
          <w:sz w:val="24"/>
          <w:szCs w:val="24"/>
          <w:lang w:val="en-US"/>
        </w:rPr>
        <w:t>cytoplasmic and unknown proteins removed</w:t>
      </w:r>
      <w:r>
        <w:rPr>
          <w:rFonts w:ascii="Arial Narrow" w:hAnsi="Arial Narrow"/>
          <w:sz w:val="24"/>
          <w:szCs w:val="24"/>
          <w:lang w:val="en-US"/>
        </w:rPr>
        <w:t>;</w:t>
      </w:r>
      <w:r w:rsidRPr="002D6A1B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</w:t>
      </w:r>
      <w:r w:rsidRPr="002D6A1B">
        <w:rPr>
          <w:rFonts w:ascii="Arial Narrow" w:hAnsi="Arial Narrow"/>
          <w:sz w:val="24"/>
          <w:szCs w:val="24"/>
          <w:lang w:val="en-US"/>
        </w:rPr>
        <w:t>omponent</w:t>
      </w:r>
      <w:r w:rsidRPr="002D6A1B">
        <w:rPr>
          <w:rFonts w:ascii="Arial Narrow" w:hAnsi="Arial Narrow"/>
          <w:b/>
          <w:sz w:val="24"/>
          <w:szCs w:val="24"/>
          <w:vertAlign w:val="superscript"/>
          <w:lang w:val="en-US"/>
        </w:rPr>
        <w:t>d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r w:rsidRPr="002D6A1B">
        <w:rPr>
          <w:rFonts w:ascii="Arial Narrow" w:hAnsi="Arial Narrow"/>
          <w:sz w:val="24"/>
          <w:szCs w:val="24"/>
          <w:lang w:val="en-US"/>
        </w:rPr>
        <w:t>only cytoplasmic proteins.</w:t>
      </w:r>
    </w:p>
    <w:p w:rsidR="00A3288A" w:rsidRPr="00D12A31" w:rsidRDefault="00F96CE7" w:rsidP="00246A4E">
      <w:pPr>
        <w:rPr>
          <w:lang w:val="en-US"/>
        </w:rPr>
      </w:pPr>
    </w:p>
    <w:sectPr w:rsidR="00A3288A" w:rsidRPr="00D12A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4E"/>
    <w:rsid w:val="00081D7C"/>
    <w:rsid w:val="00087F55"/>
    <w:rsid w:val="00246A4E"/>
    <w:rsid w:val="00396DC8"/>
    <w:rsid w:val="00A6345D"/>
    <w:rsid w:val="00AF4922"/>
    <w:rsid w:val="00D12A31"/>
    <w:rsid w:val="00D80CBE"/>
    <w:rsid w:val="00F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90BCD4-1E47-4625-88B5-B2BFF58C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A4E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A4E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Proteome Discoverer User</dc:creator>
  <cp:lastModifiedBy>Jan Maarten van Dijl</cp:lastModifiedBy>
  <cp:revision>7</cp:revision>
  <dcterms:created xsi:type="dcterms:W3CDTF">2016-11-11T14:23:00Z</dcterms:created>
  <dcterms:modified xsi:type="dcterms:W3CDTF">2017-04-06T20:22:00Z</dcterms:modified>
</cp:coreProperties>
</file>