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199" w:rsidRDefault="00B33A6A">
      <w:pPr>
        <w:pStyle w:val="ac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8B1199" w:rsidRDefault="00B33A6A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8B1199" w:rsidRDefault="00B33A6A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8B1199" w:rsidRDefault="00B33A6A">
      <w:pPr>
        <w:pStyle w:val="ac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 w:rsidR="008B1199" w:rsidRDefault="008B1199">
      <w:pPr>
        <w:pStyle w:val="ac"/>
        <w:jc w:val="center"/>
        <w:rPr>
          <w:color w:val="000000"/>
          <w:sz w:val="27"/>
          <w:szCs w:val="27"/>
        </w:rPr>
      </w:pPr>
    </w:p>
    <w:p w:rsidR="008B1199" w:rsidRDefault="008B1199">
      <w:pPr>
        <w:pStyle w:val="ac"/>
        <w:rPr>
          <w:color w:val="000000"/>
          <w:sz w:val="27"/>
          <w:szCs w:val="27"/>
        </w:rPr>
      </w:pPr>
    </w:p>
    <w:p w:rsidR="008B1199" w:rsidRDefault="008B1199">
      <w:pPr>
        <w:pStyle w:val="ac"/>
        <w:jc w:val="center"/>
        <w:rPr>
          <w:color w:val="000000"/>
          <w:sz w:val="27"/>
          <w:szCs w:val="27"/>
        </w:rPr>
      </w:pPr>
    </w:p>
    <w:p w:rsidR="008B1199" w:rsidRDefault="008B1199">
      <w:pPr>
        <w:pStyle w:val="ac"/>
        <w:jc w:val="center"/>
        <w:rPr>
          <w:color w:val="000000"/>
          <w:sz w:val="27"/>
          <w:szCs w:val="27"/>
        </w:rPr>
      </w:pPr>
    </w:p>
    <w:p w:rsidR="008B1199" w:rsidRDefault="008B1199">
      <w:pPr>
        <w:pStyle w:val="ac"/>
        <w:jc w:val="center"/>
        <w:rPr>
          <w:color w:val="000000"/>
          <w:sz w:val="27"/>
          <w:szCs w:val="27"/>
        </w:rPr>
      </w:pPr>
    </w:p>
    <w:p w:rsidR="008B1199" w:rsidRDefault="00B33A6A">
      <w:pPr>
        <w:pStyle w:val="ac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8B1199" w:rsidRDefault="00B33A6A">
      <w:pPr>
        <w:pStyle w:val="ac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№1</w:t>
      </w:r>
    </w:p>
    <w:p w:rsidR="008B1199" w:rsidRDefault="00B33A6A">
      <w:pPr>
        <w:pStyle w:val="ac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«Разведочный анализ данных. Исследование и визуализация данных»</w:t>
      </w:r>
    </w:p>
    <w:p w:rsidR="008B1199" w:rsidRDefault="00B33A6A">
      <w:pPr>
        <w:pStyle w:val="ac"/>
        <w:jc w:val="center"/>
      </w:pPr>
      <w:r>
        <w:rPr>
          <w:i/>
          <w:color w:val="000000"/>
          <w:sz w:val="32"/>
          <w:szCs w:val="27"/>
        </w:rPr>
        <w:t>Вариант 6</w:t>
      </w:r>
    </w:p>
    <w:p w:rsidR="008B1199" w:rsidRDefault="008B1199">
      <w:pPr>
        <w:pStyle w:val="ac"/>
        <w:jc w:val="center"/>
        <w:rPr>
          <w:i/>
          <w:color w:val="000000"/>
          <w:sz w:val="28"/>
          <w:szCs w:val="27"/>
        </w:rPr>
      </w:pPr>
    </w:p>
    <w:p w:rsidR="008B1199" w:rsidRDefault="008B1199">
      <w:pPr>
        <w:pStyle w:val="ac"/>
        <w:jc w:val="center"/>
        <w:rPr>
          <w:i/>
          <w:color w:val="000000"/>
          <w:sz w:val="28"/>
          <w:szCs w:val="27"/>
        </w:rPr>
      </w:pPr>
    </w:p>
    <w:p w:rsidR="008B1199" w:rsidRDefault="008B1199">
      <w:pPr>
        <w:pStyle w:val="ac"/>
        <w:jc w:val="center"/>
        <w:rPr>
          <w:i/>
          <w:color w:val="000000"/>
          <w:sz w:val="28"/>
          <w:szCs w:val="27"/>
        </w:rPr>
      </w:pPr>
    </w:p>
    <w:p w:rsidR="008B1199" w:rsidRDefault="00B33A6A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8B1199" w:rsidRDefault="00B33A6A">
      <w:pPr>
        <w:pStyle w:val="ac"/>
        <w:jc w:val="right"/>
      </w:pPr>
      <w:r>
        <w:rPr>
          <w:color w:val="000000"/>
          <w:sz w:val="28"/>
          <w:szCs w:val="27"/>
          <w:u w:val="single"/>
        </w:rPr>
        <w:t>Рудченко Е</w:t>
      </w:r>
      <w:r>
        <w:rPr>
          <w:color w:val="000000"/>
          <w:sz w:val="28"/>
          <w:szCs w:val="27"/>
          <w:u w:val="single"/>
        </w:rPr>
        <w:t>.А.</w:t>
      </w:r>
      <w:bookmarkStart w:id="0" w:name="_GoBack"/>
      <w:bookmarkEnd w:id="0"/>
    </w:p>
    <w:p w:rsidR="008B1199" w:rsidRDefault="00B33A6A">
      <w:pPr>
        <w:pStyle w:val="ac"/>
        <w:jc w:val="right"/>
      </w:pPr>
      <w:r>
        <w:rPr>
          <w:color w:val="000000"/>
          <w:sz w:val="28"/>
          <w:szCs w:val="27"/>
        </w:rPr>
        <w:t>Группа ИУ5-62Б</w:t>
      </w:r>
    </w:p>
    <w:p w:rsidR="008B1199" w:rsidRDefault="008B1199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8B1199" w:rsidRDefault="00B33A6A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8B1199" w:rsidRDefault="00B33A6A">
      <w:pPr>
        <w:pStyle w:val="ac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8B1199" w:rsidRDefault="008B1199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8B1199" w:rsidRDefault="00B33A6A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8B1199" w:rsidRDefault="00B33A6A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:rsidR="008B1199" w:rsidRDefault="00B33A6A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Изучение различных методов визуализации данных.</w:t>
      </w:r>
    </w:p>
    <w:p w:rsidR="008B1199" w:rsidRDefault="00B33A6A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Краткое описание: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Построение основных графиков, входящих в этап разведочного анализа данных.</w:t>
      </w:r>
    </w:p>
    <w:p w:rsidR="008B1199" w:rsidRDefault="00B33A6A">
      <w:pPr>
        <w:shd w:val="clear" w:color="auto" w:fill="FFFFFF"/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:rsidR="008B1199" w:rsidRDefault="00B33A6A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Выбрать набор данных (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).</w:t>
      </w:r>
    </w:p>
    <w:p w:rsidR="008B1199" w:rsidRDefault="00B33A6A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Для лабораторных работ не рекомендуется выбирать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датасеты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большого размера.</w:t>
      </w:r>
    </w:p>
    <w:p w:rsidR="008B1199" w:rsidRDefault="00B33A6A">
      <w:pPr>
        <w:numPr>
          <w:ilvl w:val="0"/>
          <w:numId w:val="2"/>
        </w:num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Создать ноутбук, который содержит следующие разделы:</w:t>
      </w:r>
    </w:p>
    <w:p w:rsidR="008B1199" w:rsidRDefault="00B33A6A">
      <w:pPr>
        <w:numPr>
          <w:ilvl w:val="0"/>
          <w:numId w:val="3"/>
        </w:numPr>
        <w:shd w:val="clear" w:color="auto" w:fill="FFFFFF"/>
        <w:spacing w:beforeAutospacing="1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Текстовое о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писание выбранного Вами набора данных.</w:t>
      </w:r>
    </w:p>
    <w:p w:rsidR="008B1199" w:rsidRDefault="00B33A6A">
      <w:pPr>
        <w:numPr>
          <w:ilvl w:val="0"/>
          <w:numId w:val="3"/>
        </w:num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Основные характеристики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B1199" w:rsidRDefault="00B33A6A">
      <w:pPr>
        <w:numPr>
          <w:ilvl w:val="0"/>
          <w:numId w:val="3"/>
        </w:num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Визуальное исследование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B1199" w:rsidRDefault="00B33A6A">
      <w:pPr>
        <w:numPr>
          <w:ilvl w:val="0"/>
          <w:numId w:val="3"/>
        </w:numPr>
        <w:shd w:val="clear" w:color="auto" w:fill="FFFFFF"/>
        <w:spacing w:before="6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Информация о корреляции признаков.</w:t>
      </w:r>
    </w:p>
    <w:p w:rsidR="008B1199" w:rsidRDefault="00B33A6A">
      <w:pPr>
        <w:numPr>
          <w:ilvl w:val="0"/>
          <w:numId w:val="4"/>
        </w:numPr>
        <w:shd w:val="clear" w:color="auto" w:fill="FFFFFF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Сформировать отчет и разместить его в своем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:rsidR="008B1199" w:rsidRDefault="00B33A6A">
      <w:pPr>
        <w:pStyle w:val="ab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Текстовое описание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выбранного набора данных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В качестве набора данных мы будем использовать набор данных, задачей которого является попытка предсказывания объёма проката велосипедов в будущем.</w:t>
      </w:r>
    </w:p>
    <w:p w:rsidR="008B1199" w:rsidRDefault="00B33A6A">
      <w:pPr>
        <w:spacing w:line="240" w:lineRule="auto"/>
        <w:jc w:val="both"/>
      </w:pPr>
      <w:hyperlink r:id="rId6">
        <w:r>
          <w:rPr>
            <w:rStyle w:val="InternetLink"/>
            <w:lang w:val="en-US"/>
          </w:rPr>
          <w:t>ht</w:t>
        </w:r>
        <w:r>
          <w:rPr>
            <w:rStyle w:val="InternetLink"/>
            <w:lang w:val="en-US"/>
          </w:rPr>
          <w:t>tps</w:t>
        </w:r>
        <w:r w:rsidRPr="00B33A6A">
          <w:rPr>
            <w:rStyle w:val="InternetLink"/>
          </w:rPr>
          <w:t>://</w:t>
        </w:r>
        <w:r>
          <w:rPr>
            <w:rStyle w:val="InternetLink"/>
            <w:lang w:val="en-US"/>
          </w:rPr>
          <w:t>www</w:t>
        </w:r>
        <w:r w:rsidRPr="00B33A6A">
          <w:rPr>
            <w:rStyle w:val="InternetLink"/>
          </w:rPr>
          <w:t>.</w:t>
        </w:r>
        <w:proofErr w:type="spellStart"/>
        <w:r>
          <w:rPr>
            <w:rStyle w:val="InternetLink"/>
            <w:lang w:val="en-US"/>
          </w:rPr>
          <w:t>kaggle</w:t>
        </w:r>
        <w:proofErr w:type="spellEnd"/>
        <w:r w:rsidRPr="00B33A6A">
          <w:rPr>
            <w:rStyle w:val="InternetLink"/>
          </w:rPr>
          <w:t>.</w:t>
        </w:r>
        <w:r>
          <w:rPr>
            <w:rStyle w:val="InternetLink"/>
            <w:lang w:val="en-US"/>
          </w:rPr>
          <w:t>com</w:t>
        </w:r>
        <w:r w:rsidRPr="00B33A6A">
          <w:rPr>
            <w:rStyle w:val="InternetLink"/>
          </w:rPr>
          <w:t>/</w:t>
        </w:r>
        <w:proofErr w:type="spellStart"/>
        <w:r>
          <w:rPr>
            <w:rStyle w:val="InternetLink"/>
            <w:lang w:val="en-US"/>
          </w:rPr>
          <w:t>hmavrodiev</w:t>
        </w:r>
        <w:proofErr w:type="spellEnd"/>
        <w:r w:rsidRPr="00B33A6A">
          <w:rPr>
            <w:rStyle w:val="InternetLink"/>
          </w:rPr>
          <w:t>/</w:t>
        </w:r>
        <w:proofErr w:type="spellStart"/>
        <w:r>
          <w:rPr>
            <w:rStyle w:val="InternetLink"/>
            <w:lang w:val="en-US"/>
          </w:rPr>
          <w:t>london</w:t>
        </w:r>
        <w:proofErr w:type="spellEnd"/>
        <w:r w:rsidRPr="00B33A6A">
          <w:rPr>
            <w:rStyle w:val="InternetLink"/>
          </w:rPr>
          <w:t>-</w:t>
        </w:r>
        <w:r>
          <w:rPr>
            <w:rStyle w:val="InternetLink"/>
            <w:lang w:val="en-US"/>
          </w:rPr>
          <w:t>bike</w:t>
        </w:r>
        <w:r w:rsidRPr="00B33A6A">
          <w:rPr>
            <w:rStyle w:val="InternetLink"/>
          </w:rPr>
          <w:t>-</w:t>
        </w:r>
        <w:r>
          <w:rPr>
            <w:rStyle w:val="InternetLink"/>
            <w:lang w:val="en-US"/>
          </w:rPr>
          <w:t>sharing</w:t>
        </w:r>
        <w:r w:rsidRPr="00B33A6A">
          <w:rPr>
            <w:rStyle w:val="InternetLink"/>
          </w:rPr>
          <w:t>-</w:t>
        </w:r>
        <w:r>
          <w:rPr>
            <w:rStyle w:val="InternetLink"/>
            <w:lang w:val="en-US"/>
          </w:rPr>
          <w:t>dataset</w:t>
        </w:r>
      </w:hyperlink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Решение этой задачи может быть актуально для городских организаций проката в сфере прогнозирования спроса на предоставление их услуг в разные сезоны, при возникновении </w:t>
      </w:r>
      <w:proofErr w:type="gram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различных  природных</w:t>
      </w:r>
      <w:proofErr w:type="gram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и социа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льных условий.</w:t>
      </w: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Данные взяты из 3 источников:</w:t>
      </w:r>
    </w:p>
    <w:p w:rsidR="008B1199" w:rsidRPr="00B33A6A" w:rsidRDefault="00B33A6A">
      <w:pPr>
        <w:pStyle w:val="ab"/>
        <w:numPr>
          <w:ilvl w:val="0"/>
          <w:numId w:val="7"/>
        </w:numPr>
        <w:ind w:left="426" w:hanging="11"/>
        <w:rPr>
          <w:lang w:val="en-US"/>
        </w:rPr>
      </w:pPr>
      <w:hyperlink r:id="rId7" w:tgtFrame="_blank">
        <w:r>
          <w:rPr>
            <w:rStyle w:val="InternetLink"/>
            <w:rFonts w:ascii="Arial" w:hAnsi="Arial" w:cs="Arial"/>
            <w:color w:val="008ABC"/>
            <w:sz w:val="21"/>
            <w:szCs w:val="21"/>
            <w:highlight w:val="white"/>
            <w:lang w:val="en-US"/>
          </w:rPr>
          <w:t>Https://cycling.data.tfl.gov.uk/</w:t>
        </w:r>
      </w:hyperlink>
      <w:r>
        <w:rPr>
          <w:rFonts w:ascii="Arial" w:hAnsi="Arial" w:cs="Arial"/>
          <w:sz w:val="21"/>
          <w:szCs w:val="21"/>
          <w:shd w:val="clear" w:color="auto" w:fill="FFFFFF"/>
          <w:lang w:val="en-US"/>
        </w:rPr>
        <w:t> 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 xml:space="preserve">'Contains OS data © Crown copyright and database rights 2016' and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Geomni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 xml:space="preserve"> UK Map data © and database rights [2019] 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 xml:space="preserve">'Powered by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TfL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 xml:space="preserve"> Open Data'</w:t>
      </w:r>
    </w:p>
    <w:p w:rsidR="008B1199" w:rsidRDefault="00B33A6A">
      <w:pPr>
        <w:numPr>
          <w:ilvl w:val="0"/>
          <w:numId w:val="6"/>
        </w:numPr>
        <w:shd w:val="clear" w:color="auto" w:fill="FFFFFF"/>
        <w:spacing w:before="60" w:after="60" w:line="240" w:lineRule="auto"/>
        <w:ind w:left="426" w:firstLine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freemeteo.com -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weather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data</w:t>
      </w:r>
      <w:proofErr w:type="spellEnd"/>
    </w:p>
    <w:p w:rsidR="008B1199" w:rsidRPr="00B33A6A" w:rsidRDefault="00B33A6A">
      <w:pPr>
        <w:numPr>
          <w:ilvl w:val="0"/>
          <w:numId w:val="6"/>
        </w:numPr>
        <w:shd w:val="clear" w:color="auto" w:fill="FFFFFF"/>
        <w:spacing w:after="0" w:line="240" w:lineRule="auto"/>
        <w:ind w:left="426" w:firstLine="0"/>
        <w:textAlignment w:val="baseline"/>
        <w:rPr>
          <w:lang w:val="en-US"/>
        </w:rPr>
      </w:pPr>
      <w:hyperlink r:id="rId8" w:tgtFrame="_blank">
        <w:r>
          <w:rPr>
            <w:rStyle w:val="InternetLink"/>
            <w:rFonts w:ascii="Arial" w:hAnsi="Arial" w:cs="Arial"/>
            <w:color w:val="008ABC"/>
            <w:sz w:val="21"/>
            <w:szCs w:val="21"/>
            <w:lang w:val="en-US"/>
          </w:rPr>
          <w:t>https://www.gov.uk/bank-holidays</w:t>
        </w:r>
      </w:hyperlink>
      <w:r>
        <w:rPr>
          <w:rFonts w:ascii="Arial" w:hAnsi="Arial" w:cs="Arial"/>
          <w:sz w:val="21"/>
          <w:szCs w:val="21"/>
          <w:lang w:val="en-US"/>
        </w:rPr>
        <w:br/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From 1/1/2015 to 31/12/2016</w:t>
      </w:r>
    </w:p>
    <w:p w:rsidR="008B1199" w:rsidRDefault="008B119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состоит из 1 файла: london_merged.csv</w:t>
      </w:r>
    </w:p>
    <w:p w:rsidR="008B1199" w:rsidRDefault="008B119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Каждый файл содержит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следующие колонки:</w:t>
      </w:r>
    </w:p>
    <w:p w:rsidR="008B1199" w:rsidRDefault="008B119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timestamp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" - поле метки времени для группировки данных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cnt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" – количество проката нового велосипеда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t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1" – реальная температура воздуха в Цельсиях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t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2" – ощущаемая температура воздуха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hum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" - влажность в процентах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windspeed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" –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скорость ветра в км/ч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lastRenderedPageBreak/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weather</w:t>
      </w:r>
      <w:r w:rsidRPr="00B33A6A">
        <w:rPr>
          <w:rFonts w:ascii="Times New Roman" w:hAnsi="Times New Roman" w:cs="Times New Roman"/>
          <w:bCs/>
          <w:sz w:val="24"/>
          <w:szCs w:val="28"/>
          <w:lang w:eastAsia="ru-RU"/>
        </w:rPr>
        <w:t>_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code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" – категория погодных условий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isholiday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" – булево число - 1 = праздничный день / 0 = обычный день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isweekend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" - булево число - 1 = выходной день / 0 = рабочий день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season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" – поле категории сезона: 0 - </w:t>
      </w:r>
      <w:proofErr w:type="gram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весна ;</w:t>
      </w:r>
      <w:proofErr w:type="gram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1 - лето;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2 - осень; 3 - зима.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weather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_</w:t>
      </w:r>
      <w:r>
        <w:rPr>
          <w:rFonts w:ascii="Times New Roman" w:hAnsi="Times New Roman" w:cs="Times New Roman"/>
          <w:bCs/>
          <w:sz w:val="24"/>
          <w:szCs w:val="28"/>
          <w:lang w:val="en-US" w:eastAsia="ru-RU"/>
        </w:rPr>
        <w:t>code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" описание категории:</w:t>
      </w:r>
    </w:p>
    <w:p w:rsidR="008B1199" w:rsidRDefault="00B33A6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1 = ясно; 2 = рассеянные облака; 3 = облачность; 4 = сильная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обалчность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; 7 = дождь/</w:t>
      </w:r>
      <w:proofErr w:type="gram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светло;  10</w:t>
      </w:r>
      <w:proofErr w:type="gram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= дождь с грозой; 26 = снегопад;  94 = мороз</w:t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pStyle w:val="ab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Основные характеристики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датасета</w:t>
      </w:r>
      <w:proofErr w:type="spellEnd"/>
    </w:p>
    <w:p w:rsidR="008B1199" w:rsidRDefault="008B119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Импорт библиотек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5080" distL="0" distR="0">
            <wp:extent cx="3855720" cy="205295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Загру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зка данных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38700" cy="60960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Основные характеристики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датасета</w:t>
      </w:r>
      <w:proofErr w:type="spellEnd"/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3175">
            <wp:extent cx="5940425" cy="181737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4445" distL="0" distR="0">
            <wp:extent cx="3284220" cy="853440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1270" distL="0" distR="0">
            <wp:extent cx="4556760" cy="932180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3810" distL="0" distR="3175">
            <wp:extent cx="5940425" cy="1196340"/>
            <wp:effectExtent l="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2540" distL="0" distR="0">
            <wp:extent cx="3337560" cy="245491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3175" distL="0" distR="0">
            <wp:extent cx="4808220" cy="2988310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6350" distL="0" distR="3175">
            <wp:extent cx="5940425" cy="2127250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2540" distL="0" distR="0">
            <wp:extent cx="4328160" cy="969010"/>
            <wp:effectExtent l="0" t="0" r="0" b="0"/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pStyle w:val="ab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Визуальное исследование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датасета</w:t>
      </w:r>
      <w:proofErr w:type="spellEnd"/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Для визуального исследования могут быть использованы различные виды диаграмм, мы построим только некоторые варианты диаграмм, которые используются достаточно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часто.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Диаграмма рассеяния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Позволяет построить распределение двух колонок данных и визуально обнаружить наличие зависимости. Не предполагается, что значения упорядочены (например, по времени).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3810" distL="0" distR="0">
            <wp:extent cx="3983990" cy="3749040"/>
            <wp:effectExtent l="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8255">
            <wp:extent cx="3897630" cy="374142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Гистограмма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Позволяет оценить плотность вероятности распр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еделения данных.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7620" distL="0" distR="6350">
            <wp:extent cx="3975735" cy="4030980"/>
            <wp:effectExtent l="0" t="0" r="0" b="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2540" distL="0" distR="0">
            <wp:extent cx="3604260" cy="3522345"/>
            <wp:effectExtent l="0" t="0" r="0" b="0"/>
            <wp:docPr id="1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proofErr w:type="spellStart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Jointplot</w:t>
      </w:r>
      <w:proofErr w:type="spellEnd"/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Комбинация гистограмм и диаграмм рассеивания.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9525">
            <wp:extent cx="4257675" cy="4328160"/>
            <wp:effectExtent l="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8255" distL="0" distR="0">
            <wp:extent cx="3642360" cy="3421380"/>
            <wp:effectExtent l="0" t="0" r="0" b="0"/>
            <wp:docPr id="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"Парные диаграммы"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Комбинация гистограмм и диаграмм рассеивания для всего набора данных.</w:t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Выводится матрица графиков. На пересечении строки и столбца, которые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соответстуют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двум показателям, строится диаграмма рассеивания. В главной диагонали матрицы строятся гистограммы распределения соответствующих показателей.</w:t>
      </w:r>
    </w:p>
    <w:p w:rsidR="008B1199" w:rsidRDefault="00B33A6A">
      <w:r>
        <w:rPr>
          <w:noProof/>
          <w:lang w:eastAsia="ru-RU"/>
        </w:rPr>
        <w:drawing>
          <wp:inline distT="0" distB="0" distL="0" distR="3175">
            <wp:extent cx="5940425" cy="2534285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r>
        <w:rPr>
          <w:noProof/>
          <w:lang w:eastAsia="ru-RU"/>
        </w:rPr>
        <w:lastRenderedPageBreak/>
        <w:drawing>
          <wp:inline distT="0" distB="6985" distL="0" distR="3175">
            <wp:extent cx="5940425" cy="2126615"/>
            <wp:effectExtent l="0" t="0" r="0" b="0"/>
            <wp:docPr id="1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r>
        <w:rPr>
          <w:noProof/>
          <w:lang w:eastAsia="ru-RU"/>
        </w:rPr>
        <w:drawing>
          <wp:inline distT="0" distB="6985" distL="0" distR="3175">
            <wp:extent cx="5940425" cy="2298065"/>
            <wp:effectExtent l="0" t="0" r="0" b="0"/>
            <wp:docPr id="1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Ящик с усами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Отображает одномерное распределение вероятности.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8255">
            <wp:extent cx="4963795" cy="3169920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rPr>
          <w:lang w:val="en-US"/>
        </w:rPr>
      </w:pPr>
    </w:p>
    <w:p w:rsidR="008B1199" w:rsidRDefault="008B1199"/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99255" cy="2918460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proofErr w:type="spellStart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Violin</w:t>
      </w:r>
      <w:proofErr w:type="spellEnd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plot</w:t>
      </w:r>
      <w:proofErr w:type="spellEnd"/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Похоже на предыдущую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диаграмму, но по краям отображаются распределения плотности.</w:t>
      </w:r>
    </w:p>
    <w:p w:rsidR="008B1199" w:rsidRDefault="00B33A6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3175">
            <wp:extent cx="5940425" cy="3887470"/>
            <wp:effectExtent l="0" t="0" r="0" b="0"/>
            <wp:docPr id="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8B119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pStyle w:val="ab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lastRenderedPageBreak/>
        <w:t>Информация о корреляции признаков</w:t>
      </w:r>
    </w:p>
    <w:p w:rsidR="008B1199" w:rsidRDefault="00B33A6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Проверка корреляции признаков позволяет решить две задачи:</w:t>
      </w:r>
    </w:p>
    <w:p w:rsidR="008B1199" w:rsidRDefault="00B33A6A">
      <w:pPr>
        <w:numPr>
          <w:ilvl w:val="0"/>
          <w:numId w:val="8"/>
        </w:numPr>
        <w:shd w:val="clear" w:color="auto" w:fill="FFFFFF"/>
        <w:spacing w:after="0" w:line="300" w:lineRule="atLeast"/>
        <w:ind w:left="480" w:right="480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Понять какие признаки (колонки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датасета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) наиболее сильно коррелируют с целевым признаком (в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нашем примере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примере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нет целевого признака) Именно эти признаки будут наиболее информативными для моделей машинного обучения. Признаки, которые слабо коррелируют с целевым признаком, можно попробовать исключить из построения модели, иногда это повышает ка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чество модели. Нужно отметить, что некоторые алгоритмы машинного обучения автоматически определяют ценность того или иного признака для построения модели.</w:t>
      </w:r>
    </w:p>
    <w:p w:rsidR="008B1199" w:rsidRDefault="00B33A6A">
      <w:pPr>
        <w:numPr>
          <w:ilvl w:val="0"/>
          <w:numId w:val="8"/>
        </w:numPr>
        <w:shd w:val="clear" w:color="auto" w:fill="FFFFFF"/>
        <w:spacing w:after="0" w:line="300" w:lineRule="atLeast"/>
        <w:ind w:left="480" w:right="480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Понять какие нецелевые признаки линейно зависимы между собой. Линейно зависимые признаки, как правило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, очень плохо влияют на качество моделей. Поэтому если несколько признаков линейно зависимы, то для построения модели из них выбирают какой-то один признак.</w:t>
      </w:r>
    </w:p>
    <w:p w:rsidR="008B1199" w:rsidRDefault="008B11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B1199" w:rsidRDefault="00B33A6A">
      <w:pPr>
        <w:rPr>
          <w:sz w:val="24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Корреляционная матрица Пирсона: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2440940"/>
            <wp:effectExtent l="0" t="0" r="0" b="0"/>
            <wp:docPr id="2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Корреляционная матрица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Кендалла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: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6985" distL="0" distR="3175">
            <wp:extent cx="5940425" cy="2431415"/>
            <wp:effectExtent l="0" t="0" r="0" b="0"/>
            <wp:docPr id="2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rPr>
          <w:lang w:val="en-US"/>
        </w:rPr>
      </w:pPr>
    </w:p>
    <w:p w:rsidR="008B1199" w:rsidRDefault="008B1199">
      <w:pPr>
        <w:rPr>
          <w:lang w:val="en-US"/>
        </w:rPr>
      </w:pP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lastRenderedPageBreak/>
        <w:t xml:space="preserve">Корреляционная матрица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Спир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мана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: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2440305"/>
            <wp:effectExtent l="0" t="0" r="0" b="0"/>
            <wp:docPr id="2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Можем видеть, что значения во всех трёх матрицах примерно равны в соответствующих ячейках.</w:t>
      </w:r>
    </w:p>
    <w:p w:rsidR="008B1199" w:rsidRDefault="008B1199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Для визуализации корреляционной матрицы будем использовать "тепловую карту"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heatmap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>, которая показывает степень корреляции различными цветами.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1905" distL="0" distR="3810">
            <wp:extent cx="5292090" cy="4093845"/>
            <wp:effectExtent l="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B33A6A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Сильно корр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>елирующие между собой признаки: t1 и t2 (0.99) – практически линейно зависимы. При построении модели машинного обучения следует оставить только один из них, а именно тот, который больше коррелирует с целевым признаком.</w:t>
      </w: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9525" distL="0" distR="3810">
            <wp:extent cx="3291840" cy="2391410"/>
            <wp:effectExtent l="0" t="0" r="0" b="0"/>
            <wp:docPr id="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90800" cy="2462530"/>
            <wp:effectExtent l="0" t="0" r="0" b="0"/>
            <wp:docPr id="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rPr>
          <w:lang w:val="en-US"/>
        </w:rPr>
      </w:pPr>
    </w:p>
    <w:p w:rsidR="008B1199" w:rsidRDefault="00B33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52160" cy="3360420"/>
            <wp:effectExtent l="0" t="0" r="0" b="0"/>
            <wp:docPr id="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99" w:rsidRDefault="008B11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B1199" w:rsidRDefault="008B1199">
      <w:pPr>
        <w:shd w:val="clear" w:color="auto" w:fill="FFFFFF"/>
        <w:spacing w:before="6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1199" w:rsidRDefault="008B1199">
      <w:pPr>
        <w:shd w:val="clear" w:color="auto" w:fill="FFFFFF"/>
        <w:spacing w:after="0" w:line="240" w:lineRule="auto"/>
      </w:pPr>
    </w:p>
    <w:sectPr w:rsidR="008B119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94EB7"/>
    <w:multiLevelType w:val="multilevel"/>
    <w:tmpl w:val="235A80B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872380"/>
    <w:multiLevelType w:val="multilevel"/>
    <w:tmpl w:val="614AC1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E742C11"/>
    <w:multiLevelType w:val="multilevel"/>
    <w:tmpl w:val="911C48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11946"/>
    <w:multiLevelType w:val="multilevel"/>
    <w:tmpl w:val="A2482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9A5070"/>
    <w:multiLevelType w:val="multilevel"/>
    <w:tmpl w:val="44FC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66581B13"/>
    <w:multiLevelType w:val="multilevel"/>
    <w:tmpl w:val="AF64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6BCB245B"/>
    <w:multiLevelType w:val="multilevel"/>
    <w:tmpl w:val="CF38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6F6E187D"/>
    <w:multiLevelType w:val="multilevel"/>
    <w:tmpl w:val="2C4C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6E608A"/>
    <w:multiLevelType w:val="multilevel"/>
    <w:tmpl w:val="A2A28B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  <w:sz w:val="20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8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199"/>
    <w:rsid w:val="008B1199"/>
    <w:rsid w:val="00B3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1BD26"/>
  <w15:docId w15:val="{85A1F0C8-9623-4EAD-B669-28E4950D7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qFormat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3">
    <w:name w:val="heading 3"/>
    <w:basedOn w:val="a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qFormat/>
    <w:rsid w:val="004134CB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a3">
    <w:name w:val="Заголовок Знак"/>
    <w:basedOn w:val="a0"/>
    <w:qFormat/>
    <w:rsid w:val="004134CB"/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AE16F4"/>
    <w:rPr>
      <w:rFonts w:ascii="Segoe UI" w:hAnsi="Segoe UI" w:cs="Segoe UI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113DF5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EE50E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qFormat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0"/>
    <w:uiPriority w:val="9"/>
    <w:semiHidden/>
    <w:qFormat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ascii="Times New Roman" w:hAnsi="Times New Roman"/>
      <w:sz w:val="24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Times New Roman" w:hAnsi="Times New Roman"/>
      <w:sz w:val="24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Times New Roman" w:hAnsi="Times New Roman"/>
      <w:sz w:val="24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ascii="Arial" w:hAnsi="Arial"/>
      <w:sz w:val="21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lang w:val="en-US"/>
    </w:rPr>
  </w:style>
  <w:style w:type="character" w:customStyle="1" w:styleId="ListLabel82">
    <w:name w:val="ListLabel 82"/>
    <w:qFormat/>
    <w:rPr>
      <w:rFonts w:ascii="Arial" w:hAnsi="Arial" w:cs="Arial"/>
      <w:color w:val="008ABC"/>
      <w:sz w:val="21"/>
      <w:szCs w:val="21"/>
      <w:shd w:val="clear" w:color="auto" w:fill="FFFFFF"/>
      <w:lang w:val="en-US"/>
    </w:rPr>
  </w:style>
  <w:style w:type="character" w:customStyle="1" w:styleId="ListLabel83">
    <w:name w:val="ListLabel 83"/>
    <w:qFormat/>
    <w:rPr>
      <w:rFonts w:ascii="Arial" w:hAnsi="Arial" w:cs="Arial"/>
      <w:color w:val="008ABC"/>
      <w:sz w:val="21"/>
      <w:szCs w:val="21"/>
      <w:lang w:val="en-U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qFormat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qFormat/>
    <w:rsid w:val="00A51F98"/>
    <w:pPr>
      <w:widowControl w:val="0"/>
      <w:suppressAutoHyphens/>
      <w:textAlignment w:val="baseline"/>
    </w:pPr>
    <w:rPr>
      <w:rFonts w:eastAsia="Linux Libertine G" w:cs="Linux Libertine G"/>
      <w:sz w:val="20"/>
      <w:szCs w:val="20"/>
      <w:lang w:eastAsia="zh-CN" w:bidi="hi-IN"/>
    </w:rPr>
  </w:style>
  <w:style w:type="paragraph" w:customStyle="1" w:styleId="Default">
    <w:name w:val="Default"/>
    <w:qFormat/>
    <w:rsid w:val="00AE16F4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Balloon Text"/>
    <w:basedOn w:val="a"/>
    <w:uiPriority w:val="99"/>
    <w:semiHidden/>
    <w:unhideWhenUsed/>
    <w:qFormat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c">
    <w:name w:val="Normal (Web)"/>
    <w:basedOn w:val="a"/>
    <w:uiPriority w:val="99"/>
    <w:unhideWhenUsed/>
    <w:qFormat/>
    <w:rsid w:val="00B31C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ycling.data.tfl.gov.uk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hmavrodiev/london-bike-sharing-datase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gov.uk/bank-holiday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F4705-0839-4C32-85B8-456F970D0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791</Words>
  <Characters>4515</Characters>
  <Application>Microsoft Office Word</Application>
  <DocSecurity>0</DocSecurity>
  <Lines>37</Lines>
  <Paragraphs>10</Paragraphs>
  <ScaleCrop>false</ScaleCrop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dc:description/>
  <cp:lastModifiedBy>Пользователь Windows</cp:lastModifiedBy>
  <cp:revision>4</cp:revision>
  <dcterms:created xsi:type="dcterms:W3CDTF">2020-04-24T21:37:00Z</dcterms:created>
  <dcterms:modified xsi:type="dcterms:W3CDTF">2020-06-05T16:35:00Z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