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Gratitud Gourmet</w:t>
      </w:r>
    </w:p>
    <w:p>
      <w:pPr>
        <w:pStyle w:val="Heading1"/>
      </w:pPr>
      <w:r>
        <w:t xml:space="preserve">Evaluacion Proveedores</w:t>
      </w:r>
    </w:p>
    <w:p>
      <w:pPr>
        <w:pStyle w:val="Heading2"/>
      </w:pPr>
      <w:r>
        <w:t xml:space="preserve">Compras y Proveedores</w:t>
      </w:r>
    </w:p>
    <w:p>
      <w:pPr>
        <w:pStyle w:val="Heading1"/>
      </w:pPr>
      <w:r>
        <w:t xml:space="preserve">Evaluacion Proveedores</w:t>
      </w:r>
    </w:p>
    <w:p>
      <w:r>
        <w:t xml:space="preserve">Codigo: EVALUACION_PROVEEDORES.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Proveedor vinculado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Cantidad / estado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 / hora</w:t>
            </w:r>
          </w:p>
        </w:tc>
        <w:tc>
          <w:p>
            <w:r>
              <w:t xml:space="preserve">Observaciones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sectPr>
      <w:pgSz w:w="11906" w:h="16838"/>
      <w:pgMar w:top="900" w:right="700" w:bottom="900" w:left="70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