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Orden Compra</w:t>
      </w:r>
    </w:p>
    <w:p>
      <w:pPr>
        <w:pStyle w:val="Heading2"/>
      </w:pPr>
      <w:r>
        <w:t xml:space="preserve">Compras y Proveedores</w:t>
      </w:r>
    </w:p>
    <w:p>
      <w:pPr>
        <w:pStyle w:val="Heading1"/>
      </w:pPr>
      <w:r>
        <w:t xml:space="preserve">Orden Compra</w:t>
      </w:r>
    </w:p>
    <w:p>
      <w:r>
        <w:t xml:space="preserve">Codigo: ORDEN_COMPRA.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Proveedor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Insumo / servicio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Proveedor</w:t>
            </w:r>
          </w:p>
        </w:tc>
        <w:tc>
          <w:p>
            <w:r>
              <w:t xml:space="preserve">Precio</w:t>
            </w:r>
          </w:p>
        </w:tc>
        <w:tc>
          <w:p>
            <w:r>
              <w:t xml:space="preserve">Fecha limite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Comprobante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