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Gratitud Gourmet</w:t>
      </w:r>
    </w:p>
    <w:p>
      <w:pPr>
        <w:pStyle w:val="Heading1"/>
      </w:pPr>
      <w:r>
        <w:t xml:space="preserve">Rotulos Estado Elementos</w:t>
      </w:r>
    </w:p>
    <w:p>
      <w:pPr>
        <w:pStyle w:val="Heading2"/>
      </w:pPr>
      <w:r>
        <w:t xml:space="preserve">Deposito, Stock y Equipamiento</w:t>
      </w:r>
    </w:p>
    <w:p>
      <w:pPr>
        <w:pStyle w:val="Heading1"/>
      </w:pPr>
      <w:r>
        <w:t xml:space="preserve">Rotulos Estado Elementos</w:t>
      </w:r>
    </w:p>
    <w:p>
      <w:r>
        <w:t xml:space="preserve">Codigo: ROTULOS_ESTADO_ELEMENTOS.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Etiquetas imprimibles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Nombre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Contenido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Observacion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Nombre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Contenido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Observacion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Nombre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Contenido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Observacion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Nombre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Contenido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Observacion</w:t>
            </w:r>
          </w:p>
        </w:tc>
        <w:tc>
          <w:p>
            <w:r>
              <w:t xml:space="preserve"/>
            </w:r>
          </w:p>
        </w:tc>
      </w:tr>
    </w:tbl>
    <w:p>
      <w:r>
        <w:t xml:space="preserve">Indicaciones de uso: Imprimir, recortar y colocar en el bulto, preparacion, estacion o producto correspondiente. Completar con marcador indeleble cuando aplique.</w:t>
      </w:r>
    </w:p>
    <w:p>
      <w:r>
        <w:br w:type="page"/>
      </w:r>
    </w:p>
    <w:sectPr>
      <w:pgSz w:w="11906" w:h="16838"/>
      <w:pgMar w:top="900" w:right="700" w:bottom="900" w:left="70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