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Gratitud Gourmet</w:t>
      </w:r>
    </w:p>
    <w:p>
      <w:pPr>
        <w:pStyle w:val="Heading1"/>
      </w:pPr>
      <w:r>
        <w:t xml:space="preserve">Briefing Servicio</w:t>
      </w:r>
    </w:p>
    <w:p>
      <w:pPr>
        <w:pStyle w:val="Heading2"/>
      </w:pPr>
      <w:r>
        <w:t xml:space="preserve">Servicio / Mozos</w:t>
      </w:r>
    </w:p>
    <w:p>
      <w:pPr>
        <w:pStyle w:val="Heading1"/>
      </w:pPr>
      <w:r>
        <w:t xml:space="preserve">Briefing Servicio</w:t>
      </w:r>
    </w:p>
    <w:p>
      <w:r>
        <w:t xml:space="preserve">Codigo: BRIEFING_SERVICIO.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Puntos a comunicar al equipo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Menu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Horarios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Roles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Restricciones alimentarias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Cliente/contacto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Uniforme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Imprevistos previstos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Equipo informado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Nombre</w:t>
            </w:r>
          </w:p>
        </w:tc>
        <w:tc>
          <w:p>
            <w:r>
              <w:t xml:space="preserve">Rol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900" w:right="700" w:bottom="900" w:left="70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