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Matriz Alergenos Calidad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Matriz Alergenos Calidad</w:t>
      </w:r>
    </w:p>
    <w:p>
      <w:r>
        <w:t xml:space="preserve">Codigo: MATRIZ_ALERGENOS_CALIDAD.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Preparacion</w:t>
            </w:r>
          </w:p>
        </w:tc>
        <w:tc>
          <w:p>
            <w:r>
              <w:t xml:space="preserve">Contiene</w:t>
            </w:r>
          </w:p>
        </w:tc>
        <w:tc>
          <w:p>
            <w:r>
              <w:t xml:space="preserve">Puede contener</w:t>
            </w:r>
          </w:p>
        </w:tc>
        <w:tc>
          <w:p>
            <w:r>
              <w:t xml:space="preserve">Riesgo cruzado</w:t>
            </w:r>
          </w:p>
        </w:tc>
        <w:tc>
          <w:p>
            <w:r>
              <w:t xml:space="preserve">Utensilio separado</w:t>
            </w:r>
          </w:p>
        </w:tc>
        <w:tc>
          <w:p>
            <w:r>
              <w:t xml:space="preserve">Rotulo colocado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