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Reporte Compras</w:t>
      </w:r>
    </w:p>
    <w:p>
      <w:pPr>
        <w:pStyle w:val="Heading2"/>
      </w:pPr>
      <w:r>
        <w:t xml:space="preserve">Direccion y Control de Gestion</w:t>
      </w:r>
    </w:p>
    <w:p>
      <w:pPr>
        <w:pStyle w:val="Heading1"/>
      </w:pPr>
      <w:r>
        <w:t xml:space="preserve">Reporte Compras</w:t>
      </w:r>
    </w:p>
    <w:p>
      <w:r>
        <w:t xml:space="preserve">Codigo: REPORTE_COMPRAS.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Indicadores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Insumo / servicio</w:t>
            </w:r>
          </w:p>
        </w:tc>
        <w:tc>
          <w:p>
            <w:r>
              <w:t xml:space="preserve">Cantidad</w:t>
            </w:r>
          </w:p>
        </w:tc>
        <w:tc>
          <w:p>
            <w:r>
              <w:t xml:space="preserve">Proveedor</w:t>
            </w:r>
          </w:p>
        </w:tc>
        <w:tc>
          <w:p>
            <w:r>
              <w:t xml:space="preserve">Precio</w:t>
            </w:r>
          </w:p>
        </w:tc>
        <w:tc>
          <w:p>
            <w:r>
              <w:t xml:space="preserve">Fecha limite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Comprobante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Conclusiones y acciones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Hallazgo</w:t>
            </w:r>
          </w:p>
        </w:tc>
        <w:tc>
          <w:p>
            <w:r>
              <w:t xml:space="preserve">Causa</w:t>
            </w:r>
          </w:p>
        </w:tc>
        <w:tc>
          <w:p>
            <w:r>
              <w:t xml:space="preserve">Accion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