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AAD77" w14:textId="716198A8" w:rsidR="0029390E" w:rsidRPr="0029390E" w:rsidRDefault="008B1153" w:rsidP="008B1153">
      <w:pPr>
        <w:pStyle w:val="Heading1"/>
      </w:pPr>
      <w:r>
        <w:t>APPENDIX B – HOUSING UNIT RESOURCES</w:t>
      </w:r>
    </w:p>
    <w:p w14:paraId="1E4F2D45" w14:textId="132EF46E" w:rsidR="008B1153" w:rsidRDefault="008B1153" w:rsidP="008B1153">
      <w:pPr>
        <w:pStyle w:val="Heading2"/>
        <w:numPr>
          <w:ilvl w:val="1"/>
          <w:numId w:val="7"/>
        </w:numPr>
      </w:pPr>
      <w:r>
        <w:t>LEAD-BASED PAINT VISUAL ASSESSMENT REQUIREMENTS</w:t>
      </w:r>
    </w:p>
    <w:p w14:paraId="7279109E" w14:textId="0864CE68" w:rsidR="0029390E" w:rsidRDefault="006F56F2" w:rsidP="0029390E">
      <w:pPr>
        <w:spacing w:after="0"/>
      </w:pPr>
      <w:r w:rsidRPr="006F56F2">
        <w:t xml:space="preserve">To prevent lead‐poisoning in young children, </w:t>
      </w:r>
      <w:r w:rsidR="00523EB1">
        <w:t xml:space="preserve">service providers </w:t>
      </w:r>
      <w:r w:rsidRPr="006F56F2">
        <w:t>must comply with the Lead‐Based Paint Poisoning Prevention Act of 1973 and its applicable regulations found at 24 CFR 35, Parts A, B, M, and R.</w:t>
      </w:r>
    </w:p>
    <w:p w14:paraId="1E9C9A29" w14:textId="78D2D60E" w:rsidR="00523EB1" w:rsidRDefault="00523EB1" w:rsidP="0029390E">
      <w:pPr>
        <w:spacing w:after="0"/>
      </w:pPr>
    </w:p>
    <w:p w14:paraId="4B6ADC02" w14:textId="218984E5" w:rsidR="00523EB1" w:rsidRDefault="00523EB1" w:rsidP="0029390E">
      <w:pPr>
        <w:spacing w:after="0"/>
      </w:pPr>
      <w:r>
        <w:t xml:space="preserve">Lead-based paint visual assessments are conducted as part of Housing Quality Standard inspections. </w:t>
      </w:r>
    </w:p>
    <w:p w14:paraId="09376D4C" w14:textId="77777777" w:rsidR="006F56F2" w:rsidRPr="0029390E" w:rsidRDefault="006F56F2" w:rsidP="0029390E">
      <w:pPr>
        <w:spacing w:after="0"/>
      </w:pPr>
    </w:p>
    <w:p w14:paraId="4D6E51E6" w14:textId="77777777" w:rsidR="002C4390" w:rsidRPr="002C4390" w:rsidRDefault="002C4390" w:rsidP="002C4390">
      <w:pPr>
        <w:pStyle w:val="ListParagraph"/>
        <w:numPr>
          <w:ilvl w:val="0"/>
          <w:numId w:val="8"/>
        </w:numPr>
        <w:spacing w:after="0"/>
        <w:contextualSpacing w:val="0"/>
        <w:outlineLvl w:val="2"/>
        <w:rPr>
          <w:b/>
          <w:bCs/>
          <w:vanish/>
          <w:color w:val="4AABA2"/>
          <w:sz w:val="24"/>
          <w:szCs w:val="24"/>
        </w:rPr>
      </w:pPr>
    </w:p>
    <w:p w14:paraId="2CB76622" w14:textId="77777777" w:rsidR="002C4390" w:rsidRPr="002C4390" w:rsidRDefault="002C4390" w:rsidP="002C4390">
      <w:pPr>
        <w:pStyle w:val="ListParagraph"/>
        <w:numPr>
          <w:ilvl w:val="0"/>
          <w:numId w:val="8"/>
        </w:numPr>
        <w:spacing w:after="0"/>
        <w:contextualSpacing w:val="0"/>
        <w:outlineLvl w:val="2"/>
        <w:rPr>
          <w:b/>
          <w:bCs/>
          <w:vanish/>
          <w:color w:val="4AABA2"/>
          <w:sz w:val="24"/>
          <w:szCs w:val="24"/>
        </w:rPr>
      </w:pPr>
    </w:p>
    <w:p w14:paraId="3576591F" w14:textId="77777777" w:rsidR="002C4390" w:rsidRPr="002C4390" w:rsidRDefault="002C4390" w:rsidP="002C4390">
      <w:pPr>
        <w:pStyle w:val="ListParagraph"/>
        <w:numPr>
          <w:ilvl w:val="1"/>
          <w:numId w:val="8"/>
        </w:numPr>
        <w:spacing w:after="0"/>
        <w:contextualSpacing w:val="0"/>
        <w:outlineLvl w:val="2"/>
        <w:rPr>
          <w:b/>
          <w:bCs/>
          <w:vanish/>
          <w:color w:val="4AABA2"/>
          <w:sz w:val="24"/>
          <w:szCs w:val="24"/>
        </w:rPr>
      </w:pPr>
    </w:p>
    <w:p w14:paraId="402D5378" w14:textId="12D5F721" w:rsidR="0029390E" w:rsidRPr="0029390E" w:rsidRDefault="006F56F2" w:rsidP="002C4390">
      <w:pPr>
        <w:pStyle w:val="Heading3"/>
        <w:numPr>
          <w:ilvl w:val="2"/>
          <w:numId w:val="8"/>
        </w:numPr>
      </w:pPr>
      <w:r>
        <w:t>DISCLOSURE REQUIREMENTS</w:t>
      </w:r>
    </w:p>
    <w:p w14:paraId="6545CFAF" w14:textId="77777777" w:rsidR="001E40DE" w:rsidRDefault="001E40DE" w:rsidP="00C243B8">
      <w:r w:rsidRPr="001E40DE">
        <w:t>For ALL properties constructed prior to 1978, landlords must</w:t>
      </w:r>
      <w:r>
        <w:t xml:space="preserve"> </w:t>
      </w:r>
      <w:r w:rsidRPr="001E40DE">
        <w:t xml:space="preserve">provide tenants with: </w:t>
      </w:r>
    </w:p>
    <w:p w14:paraId="37B6A7BD" w14:textId="77777777" w:rsidR="001E40DE" w:rsidRPr="001E40DE" w:rsidRDefault="001E40DE" w:rsidP="001E40DE">
      <w:pPr>
        <w:pStyle w:val="ListParagraph"/>
        <w:numPr>
          <w:ilvl w:val="0"/>
          <w:numId w:val="4"/>
        </w:numPr>
        <w:autoSpaceDE w:val="0"/>
        <w:autoSpaceDN w:val="0"/>
        <w:adjustRightInd w:val="0"/>
        <w:spacing w:after="0"/>
        <w:jc w:val="both"/>
        <w:rPr>
          <w:rFonts w:cstheme="minorHAnsi"/>
          <w:color w:val="0563C1" w:themeColor="hyperlink"/>
          <w:u w:val="single"/>
        </w:rPr>
      </w:pPr>
      <w:r w:rsidRPr="001E40DE">
        <w:rPr>
          <w:rFonts w:cstheme="minorHAnsi"/>
          <w:color w:val="000000"/>
        </w:rPr>
        <w:t>Disclosure form for rental properties disclosing the presence of known and unknown lead‐based paint</w:t>
      </w:r>
    </w:p>
    <w:p w14:paraId="2709CC35" w14:textId="77777777" w:rsidR="001E40DE" w:rsidRPr="001E40DE" w:rsidRDefault="001E40DE" w:rsidP="001E40DE">
      <w:pPr>
        <w:pStyle w:val="ListParagraph"/>
        <w:numPr>
          <w:ilvl w:val="0"/>
          <w:numId w:val="4"/>
        </w:numPr>
        <w:autoSpaceDE w:val="0"/>
        <w:autoSpaceDN w:val="0"/>
        <w:adjustRightInd w:val="0"/>
        <w:spacing w:after="0"/>
        <w:jc w:val="both"/>
        <w:rPr>
          <w:rFonts w:cstheme="minorHAnsi"/>
          <w:color w:val="0563C1" w:themeColor="hyperlink"/>
          <w:u w:val="single"/>
        </w:rPr>
      </w:pPr>
      <w:r w:rsidRPr="001E40DE">
        <w:rPr>
          <w:rFonts w:cstheme="minorHAnsi"/>
          <w:color w:val="000000"/>
        </w:rPr>
        <w:t>A copy of the “Protect Your Family from Lead in the Home” pamphlet.</w:t>
      </w:r>
      <w:r>
        <w:rPr>
          <w:rFonts w:cstheme="minorHAnsi"/>
          <w:color w:val="000000"/>
        </w:rPr>
        <w:t xml:space="preserve"> </w:t>
      </w:r>
    </w:p>
    <w:p w14:paraId="5031D763" w14:textId="77777777" w:rsidR="001E40DE" w:rsidRDefault="001E40DE" w:rsidP="001E40DE">
      <w:pPr>
        <w:autoSpaceDE w:val="0"/>
        <w:autoSpaceDN w:val="0"/>
        <w:adjustRightInd w:val="0"/>
        <w:spacing w:after="0"/>
        <w:jc w:val="both"/>
        <w:rPr>
          <w:rFonts w:cstheme="minorHAnsi"/>
          <w:color w:val="000000"/>
        </w:rPr>
      </w:pPr>
    </w:p>
    <w:p w14:paraId="7A811F71" w14:textId="18CF6537" w:rsidR="001E40DE" w:rsidRPr="00C243B8" w:rsidRDefault="001E40DE" w:rsidP="00C243B8">
      <w:pPr>
        <w:rPr>
          <w:rStyle w:val="Hyperlink"/>
          <w:color w:val="auto"/>
          <w:u w:val="none"/>
        </w:rPr>
      </w:pPr>
      <w:r w:rsidRPr="001E40DE">
        <w:t xml:space="preserve">Both the disclosure form and pamphlet are available at: </w:t>
      </w:r>
      <w:hyperlink r:id="rId7" w:history="1">
        <w:r w:rsidRPr="00190529">
          <w:rPr>
            <w:rStyle w:val="Hyperlink"/>
            <w:rFonts w:cstheme="minorHAnsi"/>
          </w:rPr>
          <w:t>https://www.epa.gov/lead/real-estate-disclosure</w:t>
        </w:r>
      </w:hyperlink>
      <w:r>
        <w:t xml:space="preserve">. </w:t>
      </w:r>
      <w:r w:rsidRPr="001E40DE">
        <w:t>It is recommended that rent assistance providers also share this information with their</w:t>
      </w:r>
      <w:r>
        <w:t xml:space="preserve"> participants</w:t>
      </w:r>
      <w:r w:rsidRPr="001E40DE">
        <w:t>.</w:t>
      </w:r>
    </w:p>
    <w:p w14:paraId="7267395F" w14:textId="69CD5A26" w:rsidR="0029390E" w:rsidRPr="0029390E" w:rsidRDefault="001E40DE" w:rsidP="002C4390">
      <w:pPr>
        <w:pStyle w:val="Heading3"/>
        <w:numPr>
          <w:ilvl w:val="2"/>
          <w:numId w:val="8"/>
        </w:numPr>
      </w:pPr>
      <w:r>
        <w:t>DETERMINING THE AGE OF THE UNIT</w:t>
      </w:r>
    </w:p>
    <w:p w14:paraId="61F1BA7B" w14:textId="7FD86AD5" w:rsidR="001E40DE" w:rsidRDefault="001E40DE" w:rsidP="00C243B8">
      <w:r>
        <w:t xml:space="preserve">Service providers </w:t>
      </w:r>
      <w:r w:rsidRPr="001E40DE">
        <w:t>should use formal public records, such as tax assessment records, to establish the age of a unit. These records are typically maintained by the state or county and will include the year built or age of the property. To find online, search for</w:t>
      </w:r>
      <w:r w:rsidR="00523EB1">
        <w:t xml:space="preserve"> Pierce County </w:t>
      </w:r>
      <w:r w:rsidRPr="001E40DE">
        <w:t>with one of the following phrases:</w:t>
      </w:r>
    </w:p>
    <w:p w14:paraId="0A9FBA30" w14:textId="77777777" w:rsidR="001E40DE" w:rsidRDefault="001E40DE" w:rsidP="001E40DE">
      <w:pPr>
        <w:pStyle w:val="ListParagraph"/>
        <w:numPr>
          <w:ilvl w:val="0"/>
          <w:numId w:val="5"/>
        </w:numPr>
        <w:tabs>
          <w:tab w:val="num" w:pos="720"/>
        </w:tabs>
        <w:spacing w:after="0"/>
        <w:jc w:val="both"/>
        <w:rPr>
          <w:rFonts w:cstheme="minorHAnsi"/>
          <w:color w:val="000000"/>
        </w:rPr>
      </w:pPr>
      <w:r w:rsidRPr="001E40DE">
        <w:rPr>
          <w:rFonts w:cstheme="minorHAnsi"/>
          <w:color w:val="000000"/>
        </w:rPr>
        <w:t>“property tax records”</w:t>
      </w:r>
    </w:p>
    <w:p w14:paraId="0F372CA1" w14:textId="77777777" w:rsidR="001E40DE" w:rsidRDefault="001E40DE" w:rsidP="001E40DE">
      <w:pPr>
        <w:pStyle w:val="ListParagraph"/>
        <w:numPr>
          <w:ilvl w:val="0"/>
          <w:numId w:val="5"/>
        </w:numPr>
        <w:tabs>
          <w:tab w:val="num" w:pos="720"/>
        </w:tabs>
        <w:spacing w:after="0"/>
        <w:jc w:val="both"/>
        <w:rPr>
          <w:rFonts w:cstheme="minorHAnsi"/>
          <w:color w:val="000000"/>
        </w:rPr>
      </w:pPr>
      <w:r w:rsidRPr="001E40DE">
        <w:rPr>
          <w:rFonts w:cstheme="minorHAnsi"/>
          <w:color w:val="000000"/>
        </w:rPr>
        <w:t>“property tax database”</w:t>
      </w:r>
    </w:p>
    <w:p w14:paraId="7449DF04" w14:textId="77777777" w:rsidR="001E40DE" w:rsidRDefault="001E40DE" w:rsidP="001E40DE">
      <w:pPr>
        <w:pStyle w:val="ListParagraph"/>
        <w:numPr>
          <w:ilvl w:val="0"/>
          <w:numId w:val="5"/>
        </w:numPr>
        <w:tabs>
          <w:tab w:val="num" w:pos="720"/>
        </w:tabs>
        <w:spacing w:after="0"/>
        <w:jc w:val="both"/>
        <w:rPr>
          <w:rFonts w:cstheme="minorHAnsi"/>
          <w:color w:val="000000"/>
        </w:rPr>
      </w:pPr>
      <w:r w:rsidRPr="001E40DE">
        <w:rPr>
          <w:rFonts w:cstheme="minorHAnsi"/>
          <w:color w:val="000000"/>
        </w:rPr>
        <w:t>“real property sales”</w:t>
      </w:r>
    </w:p>
    <w:p w14:paraId="7D8738B7" w14:textId="77777777" w:rsidR="001E40DE" w:rsidRDefault="001E40DE" w:rsidP="001E40DE">
      <w:pPr>
        <w:tabs>
          <w:tab w:val="num" w:pos="720"/>
        </w:tabs>
        <w:spacing w:after="0"/>
        <w:ind w:left="90"/>
        <w:jc w:val="both"/>
        <w:rPr>
          <w:rFonts w:cstheme="minorHAnsi"/>
          <w:color w:val="000000"/>
        </w:rPr>
      </w:pPr>
    </w:p>
    <w:p w14:paraId="3E1D20B2" w14:textId="676AA4C7" w:rsidR="001E40DE" w:rsidRPr="00C243B8" w:rsidRDefault="001E40DE" w:rsidP="00C243B8">
      <w:r w:rsidRPr="001E40DE">
        <w:t>Print the screenshot for the case file. If not available online, the information is public and can be requested from the local authorities.</w:t>
      </w:r>
    </w:p>
    <w:p w14:paraId="61467BFC" w14:textId="1EF379C0" w:rsidR="0029390E" w:rsidRPr="0029390E" w:rsidRDefault="00D03D53" w:rsidP="002C4390">
      <w:pPr>
        <w:pStyle w:val="Heading3"/>
        <w:numPr>
          <w:ilvl w:val="2"/>
          <w:numId w:val="8"/>
        </w:numPr>
      </w:pPr>
      <w:r>
        <w:t>CONDUCTING A VISUAL ASSESSMENT</w:t>
      </w:r>
    </w:p>
    <w:p w14:paraId="4410EF56" w14:textId="77777777" w:rsidR="00D03D53" w:rsidRDefault="00D03D53" w:rsidP="00C243B8">
      <w:r w:rsidRPr="00D03D53">
        <w:t>Visual assessments are</w:t>
      </w:r>
      <w:r>
        <w:t xml:space="preserve"> </w:t>
      </w:r>
      <w:r w:rsidRPr="00D03D53">
        <w:t>required when:</w:t>
      </w:r>
    </w:p>
    <w:p w14:paraId="27DB930E" w14:textId="3DB56630" w:rsidR="00D03D53" w:rsidRPr="00D03D53" w:rsidRDefault="00D03D53" w:rsidP="00D03D53">
      <w:pPr>
        <w:pStyle w:val="ListParagraph"/>
        <w:numPr>
          <w:ilvl w:val="0"/>
          <w:numId w:val="6"/>
        </w:numPr>
        <w:spacing w:after="0"/>
      </w:pPr>
      <w:r w:rsidRPr="00D03D53">
        <w:rPr>
          <w:rFonts w:cstheme="minorHAnsi"/>
        </w:rPr>
        <w:t>The leased property was constructed before 1978;</w:t>
      </w:r>
      <w:r>
        <w:rPr>
          <w:rFonts w:cstheme="minorHAnsi"/>
        </w:rPr>
        <w:t xml:space="preserve"> </w:t>
      </w:r>
      <w:r w:rsidRPr="00D03D53">
        <w:rPr>
          <w:rFonts w:cstheme="minorHAnsi"/>
        </w:rPr>
        <w:t>AND</w:t>
      </w:r>
    </w:p>
    <w:p w14:paraId="3B1BAEE9" w14:textId="77777777" w:rsidR="00D03D53" w:rsidRPr="00D03D53" w:rsidRDefault="00D03D53" w:rsidP="00D03D53">
      <w:pPr>
        <w:pStyle w:val="ListParagraph"/>
        <w:numPr>
          <w:ilvl w:val="0"/>
          <w:numId w:val="6"/>
        </w:numPr>
        <w:spacing w:after="0"/>
      </w:pPr>
      <w:r w:rsidRPr="00D03D53">
        <w:rPr>
          <w:rFonts w:cstheme="minorHAnsi"/>
        </w:rPr>
        <w:t>A child under the age of six or a pregnant woman will be living in the unit occupied by the household receiving rent assistance.</w:t>
      </w:r>
    </w:p>
    <w:p w14:paraId="11B090F3" w14:textId="77777777" w:rsidR="00D03D53" w:rsidRDefault="00D03D53" w:rsidP="00D03D53">
      <w:pPr>
        <w:spacing w:after="0"/>
        <w:rPr>
          <w:rFonts w:cstheme="minorHAnsi"/>
        </w:rPr>
      </w:pPr>
    </w:p>
    <w:p w14:paraId="61866F73" w14:textId="0140502C" w:rsidR="00D03D53" w:rsidRPr="00C243B8" w:rsidRDefault="00D03D53" w:rsidP="00C243B8">
      <w:r w:rsidRPr="00D03D53">
        <w:t>A visual assessment must be conducted prior to providing rent assistance to the unit and on an annual basis thereafter (as long as assistance is provided). Visual assessments must be conducted by a HUD‐Certified Visual Assessor.</w:t>
      </w:r>
      <w:r w:rsidR="002C381A">
        <w:t xml:space="preserve"> To request a lead-based paint visual assessment, utilize the HQS Request form on the Pierce County website (</w:t>
      </w:r>
      <w:r w:rsidR="002C381A" w:rsidRPr="002C381A">
        <w:t>https://www.piercecountywa.gov/FormCenter/Human-Services-</w:t>
      </w:r>
      <w:r w:rsidR="002C381A" w:rsidRPr="002C381A">
        <w:lastRenderedPageBreak/>
        <w:t>18/Request-for-Housing-Quality-Standards-In-674</w:t>
      </w:r>
      <w:r w:rsidR="002C381A">
        <w:t xml:space="preserve">) and specify that only a lead-based paint visual inspection is required. </w:t>
      </w:r>
    </w:p>
    <w:p w14:paraId="13C69800" w14:textId="1781AD21" w:rsidR="00D03D53" w:rsidRDefault="00D03D53" w:rsidP="00D03D53">
      <w:pPr>
        <w:spacing w:after="0"/>
      </w:pPr>
      <w:r w:rsidRPr="00D03D53">
        <w:t xml:space="preserve">If a visual assessment reveals </w:t>
      </w:r>
      <w:r>
        <w:t xml:space="preserve">a </w:t>
      </w:r>
      <w:r w:rsidRPr="00D03D53">
        <w:t>problem</w:t>
      </w:r>
      <w:r>
        <w:t>(</w:t>
      </w:r>
      <w:r w:rsidRPr="00D03D53">
        <w:t>s</w:t>
      </w:r>
      <w:r>
        <w:t>)</w:t>
      </w:r>
      <w:r w:rsidRPr="00D03D53">
        <w:t xml:space="preserve"> with paint surfaces, </w:t>
      </w:r>
      <w:r>
        <w:t xml:space="preserve">the County </w:t>
      </w:r>
      <w:r w:rsidRPr="00D03D53">
        <w:t xml:space="preserve">cannot approve the unit for assistance until the deteriorating paint has been repaired. </w:t>
      </w:r>
      <w:r>
        <w:t xml:space="preserve">Service providers </w:t>
      </w:r>
      <w:r w:rsidRPr="00D03D53">
        <w:t>may</w:t>
      </w:r>
      <w:r>
        <w:t xml:space="preserve"> </w:t>
      </w:r>
      <w:r w:rsidRPr="00D03D53">
        <w:t>wait until the repairs are completed or</w:t>
      </w:r>
      <w:r>
        <w:t xml:space="preserve"> </w:t>
      </w:r>
      <w:r w:rsidRPr="00D03D53">
        <w:t>work with the household to locate a different (lead‐safe) unit.</w:t>
      </w:r>
    </w:p>
    <w:sectPr w:rsidR="00D03D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83A83" w14:textId="77777777" w:rsidR="003C3C20" w:rsidRDefault="003C3C20" w:rsidP="003C3C20">
      <w:pPr>
        <w:spacing w:after="0" w:line="240" w:lineRule="auto"/>
      </w:pPr>
      <w:r>
        <w:separator/>
      </w:r>
    </w:p>
  </w:endnote>
  <w:endnote w:type="continuationSeparator" w:id="0">
    <w:p w14:paraId="3DA3E269" w14:textId="77777777" w:rsidR="003C3C20" w:rsidRDefault="003C3C20" w:rsidP="003C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C2D0D" w14:textId="77777777" w:rsidR="003C3C20" w:rsidRPr="00BD3F98" w:rsidRDefault="003C3C20" w:rsidP="003C3C20">
    <w:pPr>
      <w:pStyle w:val="Header"/>
      <w:pBdr>
        <w:top w:val="single" w:sz="8" w:space="1" w:color="auto"/>
      </w:pBdr>
      <w:rPr>
        <w:color w:val="295981"/>
        <w:sz w:val="19"/>
        <w:szCs w:val="19"/>
      </w:rPr>
    </w:pPr>
    <w:r w:rsidRPr="00BD3F98">
      <w:rPr>
        <w:color w:val="295981"/>
        <w:sz w:val="19"/>
        <w:szCs w:val="19"/>
      </w:rPr>
      <w:t>Homeless Housing Program Policy and Operations Manual</w:t>
    </w:r>
  </w:p>
  <w:p w14:paraId="4AD14608" w14:textId="3E974538" w:rsidR="003C3C20" w:rsidRPr="003C3C20" w:rsidRDefault="003C3C20" w:rsidP="003C3C20">
    <w:pPr>
      <w:pStyle w:val="Header"/>
      <w:rPr>
        <w:sz w:val="19"/>
        <w:szCs w:val="19"/>
      </w:rPr>
    </w:pPr>
    <w:r>
      <w:rPr>
        <w:sz w:val="19"/>
        <w:szCs w:val="19"/>
      </w:rPr>
      <w:t>LEAD-BASED PAINT VISUAL ASSESSMENT REQUIREMENTS</w:t>
    </w:r>
    <w:r w:rsidRPr="00F42DC7">
      <w:rPr>
        <w:sz w:val="19"/>
        <w:szCs w:val="19"/>
      </w:rPr>
      <w:t xml:space="preserve"> </w:t>
    </w:r>
    <w:r w:rsidRPr="00F42DC7">
      <w:rPr>
        <w:sz w:val="19"/>
        <w:szCs w:val="19"/>
      </w:rPr>
      <w:ptab w:relativeTo="margin" w:alignment="center" w:leader="none"/>
    </w:r>
    <w:r w:rsidRPr="00F42DC7">
      <w:rPr>
        <w:sz w:val="19"/>
        <w:szCs w:val="19"/>
      </w:rPr>
      <w:ptab w:relativeTo="margin" w:alignment="right" w:leader="none"/>
    </w:r>
    <w:r>
      <w:rPr>
        <w:sz w:val="19"/>
        <w:szCs w:val="19"/>
      </w:rPr>
      <w:t xml:space="preserve">APPENDIX </w:t>
    </w:r>
    <w:r>
      <w:rPr>
        <w:sz w:val="19"/>
        <w:szCs w:val="19"/>
      </w:rPr>
      <w:t>B</w:t>
    </w:r>
    <w:r>
      <w:rPr>
        <w:sz w:val="19"/>
        <w:szCs w:val="19"/>
      </w:rPr>
      <w:t>-1</w:t>
    </w:r>
    <w:r w:rsidRPr="00F42DC7">
      <w:rPr>
        <w:sz w:val="19"/>
        <w:szCs w:val="19"/>
      </w:rPr>
      <w:t xml:space="preserve"> | </w:t>
    </w:r>
    <w:r w:rsidRPr="00F42DC7">
      <w:rPr>
        <w:sz w:val="19"/>
        <w:szCs w:val="19"/>
      </w:rPr>
      <w:fldChar w:fldCharType="begin"/>
    </w:r>
    <w:r w:rsidRPr="00F42DC7">
      <w:rPr>
        <w:sz w:val="19"/>
        <w:szCs w:val="19"/>
      </w:rPr>
      <w:instrText xml:space="preserve"> PAGE   \* MERGEFORMAT </w:instrText>
    </w:r>
    <w:r w:rsidRPr="00F42DC7">
      <w:rPr>
        <w:sz w:val="19"/>
        <w:szCs w:val="19"/>
      </w:rPr>
      <w:fldChar w:fldCharType="separate"/>
    </w:r>
    <w:r>
      <w:rPr>
        <w:sz w:val="19"/>
        <w:szCs w:val="19"/>
      </w:rPr>
      <w:t>1</w:t>
    </w:r>
    <w:r w:rsidRPr="00F42DC7">
      <w:rPr>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A62F8" w14:textId="77777777" w:rsidR="003C3C20" w:rsidRDefault="003C3C20" w:rsidP="003C3C20">
      <w:pPr>
        <w:spacing w:after="0" w:line="240" w:lineRule="auto"/>
      </w:pPr>
      <w:r>
        <w:separator/>
      </w:r>
    </w:p>
  </w:footnote>
  <w:footnote w:type="continuationSeparator" w:id="0">
    <w:p w14:paraId="5CA77E21" w14:textId="77777777" w:rsidR="003C3C20" w:rsidRDefault="003C3C20" w:rsidP="003C3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4047"/>
    <w:multiLevelType w:val="hybridMultilevel"/>
    <w:tmpl w:val="343684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0B3E51"/>
    <w:multiLevelType w:val="multilevel"/>
    <w:tmpl w:val="529C9814"/>
    <w:lvl w:ilvl="0">
      <w:start w:val="1"/>
      <w:numFmt w:val="upperLetter"/>
      <w:lvlText w:val="%1."/>
      <w:lvlJc w:val="left"/>
      <w:pPr>
        <w:ind w:left="720" w:hanging="360"/>
      </w:pPr>
      <w:rPr>
        <w:rFonts w:hint="default"/>
      </w:rPr>
    </w:lvl>
    <w:lvl w:ilvl="1">
      <w:start w:val="1"/>
      <w:numFmt w:val="decimal"/>
      <w:lvlText w:val="%1-%2."/>
      <w:lvlJc w:val="left"/>
      <w:pPr>
        <w:ind w:left="0" w:firstLine="0"/>
      </w:pPr>
      <w:rPr>
        <w:rFonts w:hint="default"/>
        <w:strike w:val="0"/>
      </w:rPr>
    </w:lvl>
    <w:lvl w:ilvl="2">
      <w:start w:val="1"/>
      <w:numFmt w:val="decimal"/>
      <w:lvlText w:val="%1.%2.%3."/>
      <w:lvlJc w:val="left"/>
      <w:pPr>
        <w:ind w:left="72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D3E5880"/>
    <w:multiLevelType w:val="hybridMultilevel"/>
    <w:tmpl w:val="C5C6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C4945"/>
    <w:multiLevelType w:val="hybridMultilevel"/>
    <w:tmpl w:val="3628FA16"/>
    <w:lvl w:ilvl="0" w:tplc="AC90A41A">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47780881"/>
    <w:multiLevelType w:val="multilevel"/>
    <w:tmpl w:val="88324D22"/>
    <w:lvl w:ilvl="0">
      <w:start w:val="2"/>
      <w:numFmt w:val="upperLetter"/>
      <w:lvlText w:val="%1."/>
      <w:lvlJc w:val="left"/>
      <w:pPr>
        <w:ind w:left="720" w:hanging="360"/>
      </w:pPr>
      <w:rPr>
        <w:rFonts w:hint="default"/>
      </w:rPr>
    </w:lvl>
    <w:lvl w:ilvl="1">
      <w:start w:val="1"/>
      <w:numFmt w:val="decimal"/>
      <w:lvlText w:val="%1-%2."/>
      <w:lvlJc w:val="left"/>
      <w:pPr>
        <w:ind w:left="720" w:hanging="720"/>
      </w:pPr>
      <w:rPr>
        <w:rFonts w:hint="default"/>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8B905A9"/>
    <w:multiLevelType w:val="hybridMultilevel"/>
    <w:tmpl w:val="B9D2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47EEA"/>
    <w:multiLevelType w:val="multilevel"/>
    <w:tmpl w:val="A5508C5C"/>
    <w:lvl w:ilvl="0">
      <w:start w:val="1"/>
      <w:numFmt w:val="decimal"/>
      <w:lvlText w:val="%1"/>
      <w:lvlJc w:val="left"/>
      <w:pPr>
        <w:ind w:left="432" w:hanging="432"/>
      </w:pPr>
    </w:lvl>
    <w:lvl w:ilvl="1">
      <w:start w:val="1"/>
      <w:numFmt w:val="decimal"/>
      <w:lvlText w:val="%1.%2"/>
      <w:lvlJc w:val="left"/>
      <w:pPr>
        <w:ind w:left="576" w:hanging="576"/>
      </w:pPr>
      <w:rPr>
        <w:color w:val="8F3537"/>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7AA7425"/>
    <w:multiLevelType w:val="hybridMultilevel"/>
    <w:tmpl w:val="E846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0E"/>
    <w:rsid w:val="001E40DE"/>
    <w:rsid w:val="0029390E"/>
    <w:rsid w:val="002C381A"/>
    <w:rsid w:val="002C4390"/>
    <w:rsid w:val="002F6EF2"/>
    <w:rsid w:val="003C3C20"/>
    <w:rsid w:val="00523EB1"/>
    <w:rsid w:val="005F07CC"/>
    <w:rsid w:val="006F56F2"/>
    <w:rsid w:val="008B1153"/>
    <w:rsid w:val="00A46770"/>
    <w:rsid w:val="00C243B8"/>
    <w:rsid w:val="00D03D53"/>
    <w:rsid w:val="00FC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5B67"/>
  <w15:chartTrackingRefBased/>
  <w15:docId w15:val="{55C07A3E-9FD1-40FB-B9F2-8B152DC9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3B8"/>
  </w:style>
  <w:style w:type="paragraph" w:styleId="Heading1">
    <w:name w:val="heading 1"/>
    <w:basedOn w:val="Normal"/>
    <w:next w:val="Normal"/>
    <w:link w:val="Heading1Char"/>
    <w:uiPriority w:val="9"/>
    <w:qFormat/>
    <w:rsid w:val="008B1153"/>
    <w:pPr>
      <w:keepNext/>
      <w:keepLines/>
      <w:spacing w:after="360" w:line="240" w:lineRule="auto"/>
      <w:jc w:val="center"/>
      <w:outlineLvl w:val="0"/>
    </w:pPr>
    <w:rPr>
      <w:rFonts w:eastAsiaTheme="majorEastAsia" w:cstheme="minorHAnsi"/>
      <w:b/>
      <w:bCs/>
      <w:color w:val="295981"/>
      <w:sz w:val="52"/>
      <w:szCs w:val="32"/>
    </w:rPr>
  </w:style>
  <w:style w:type="paragraph" w:styleId="Heading2">
    <w:name w:val="heading 2"/>
    <w:basedOn w:val="Normal"/>
    <w:next w:val="Normal"/>
    <w:link w:val="Heading2Char"/>
    <w:uiPriority w:val="9"/>
    <w:unhideWhenUsed/>
    <w:qFormat/>
    <w:rsid w:val="008B1153"/>
    <w:pPr>
      <w:keepNext/>
      <w:keepLines/>
      <w:pBdr>
        <w:bottom w:val="single" w:sz="18" w:space="1" w:color="295981"/>
      </w:pBdr>
      <w:spacing w:after="240" w:line="240" w:lineRule="auto"/>
      <w:outlineLvl w:val="1"/>
    </w:pPr>
    <w:rPr>
      <w:rFonts w:eastAsiaTheme="majorEastAsia" w:cstheme="minorHAnsi"/>
      <w:b/>
      <w:bCs/>
      <w:color w:val="295981"/>
      <w:sz w:val="36"/>
      <w:szCs w:val="28"/>
    </w:rPr>
  </w:style>
  <w:style w:type="paragraph" w:styleId="Heading3">
    <w:name w:val="heading 3"/>
    <w:basedOn w:val="Normal"/>
    <w:next w:val="Normal"/>
    <w:link w:val="Heading3Char"/>
    <w:uiPriority w:val="9"/>
    <w:unhideWhenUsed/>
    <w:qFormat/>
    <w:rsid w:val="008B1153"/>
    <w:pPr>
      <w:spacing w:after="0"/>
      <w:outlineLvl w:val="2"/>
    </w:pPr>
    <w:rPr>
      <w:b/>
      <w:bCs/>
      <w:color w:val="4AABA2"/>
      <w:sz w:val="24"/>
      <w:szCs w:val="24"/>
    </w:rPr>
  </w:style>
  <w:style w:type="paragraph" w:styleId="Heading4">
    <w:name w:val="heading 4"/>
    <w:basedOn w:val="Normal"/>
    <w:next w:val="Normal"/>
    <w:link w:val="Heading4Char"/>
    <w:uiPriority w:val="9"/>
    <w:unhideWhenUsed/>
    <w:qFormat/>
    <w:rsid w:val="0029390E"/>
    <w:pPr>
      <w:keepNext/>
      <w:keepLines/>
      <w:numPr>
        <w:ilvl w:val="3"/>
        <w:numId w:val="1"/>
      </w:numPr>
      <w:spacing w:after="120" w:line="240" w:lineRule="auto"/>
      <w:outlineLvl w:val="3"/>
    </w:pPr>
    <w:rPr>
      <w:rFonts w:eastAsiaTheme="majorEastAsia" w:cstheme="minorHAnsi"/>
      <w:b/>
      <w:bCs/>
      <w:sz w:val="24"/>
      <w:szCs w:val="24"/>
    </w:rPr>
  </w:style>
  <w:style w:type="paragraph" w:styleId="Heading5">
    <w:name w:val="heading 5"/>
    <w:basedOn w:val="Normal"/>
    <w:next w:val="Normal"/>
    <w:link w:val="Heading5Char"/>
    <w:uiPriority w:val="9"/>
    <w:unhideWhenUsed/>
    <w:qFormat/>
    <w:rsid w:val="002939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39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39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39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39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53"/>
    <w:rPr>
      <w:rFonts w:eastAsiaTheme="majorEastAsia" w:cstheme="minorHAnsi"/>
      <w:b/>
      <w:bCs/>
      <w:color w:val="295981"/>
      <w:sz w:val="52"/>
      <w:szCs w:val="32"/>
    </w:rPr>
  </w:style>
  <w:style w:type="character" w:customStyle="1" w:styleId="Heading2Char">
    <w:name w:val="Heading 2 Char"/>
    <w:basedOn w:val="DefaultParagraphFont"/>
    <w:link w:val="Heading2"/>
    <w:uiPriority w:val="9"/>
    <w:rsid w:val="008B1153"/>
    <w:rPr>
      <w:rFonts w:eastAsiaTheme="majorEastAsia" w:cstheme="minorHAnsi"/>
      <w:b/>
      <w:bCs/>
      <w:color w:val="295981"/>
      <w:sz w:val="36"/>
      <w:szCs w:val="28"/>
    </w:rPr>
  </w:style>
  <w:style w:type="character" w:customStyle="1" w:styleId="Heading3Char">
    <w:name w:val="Heading 3 Char"/>
    <w:basedOn w:val="DefaultParagraphFont"/>
    <w:link w:val="Heading3"/>
    <w:uiPriority w:val="9"/>
    <w:rsid w:val="008B1153"/>
    <w:rPr>
      <w:b/>
      <w:bCs/>
      <w:color w:val="4AABA2"/>
      <w:sz w:val="24"/>
      <w:szCs w:val="24"/>
    </w:rPr>
  </w:style>
  <w:style w:type="character" w:customStyle="1" w:styleId="Heading4Char">
    <w:name w:val="Heading 4 Char"/>
    <w:basedOn w:val="DefaultParagraphFont"/>
    <w:link w:val="Heading4"/>
    <w:uiPriority w:val="9"/>
    <w:rsid w:val="0029390E"/>
    <w:rPr>
      <w:rFonts w:eastAsiaTheme="majorEastAsia" w:cstheme="minorHAnsi"/>
      <w:b/>
      <w:bCs/>
      <w:sz w:val="24"/>
      <w:szCs w:val="24"/>
    </w:rPr>
  </w:style>
  <w:style w:type="character" w:customStyle="1" w:styleId="Heading5Char">
    <w:name w:val="Heading 5 Char"/>
    <w:basedOn w:val="DefaultParagraphFont"/>
    <w:link w:val="Heading5"/>
    <w:uiPriority w:val="9"/>
    <w:rsid w:val="002939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39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390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39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390E"/>
    <w:rPr>
      <w:rFonts w:asciiTheme="majorHAnsi" w:eastAsiaTheme="majorEastAsia" w:hAnsiTheme="majorHAnsi" w:cstheme="majorBidi"/>
      <w:i/>
      <w:iCs/>
      <w:color w:val="272727" w:themeColor="text1" w:themeTint="D8"/>
      <w:sz w:val="21"/>
      <w:szCs w:val="21"/>
    </w:rPr>
  </w:style>
  <w:style w:type="paragraph" w:styleId="ListParagraph">
    <w:name w:val="List Paragraph"/>
    <w:aliases w:val="TOC style"/>
    <w:basedOn w:val="Normal"/>
    <w:link w:val="ListParagraphChar"/>
    <w:uiPriority w:val="34"/>
    <w:qFormat/>
    <w:rsid w:val="0029390E"/>
    <w:pPr>
      <w:ind w:left="720"/>
      <w:contextualSpacing/>
    </w:pPr>
  </w:style>
  <w:style w:type="character" w:customStyle="1" w:styleId="ListParagraphChar">
    <w:name w:val="List Paragraph Char"/>
    <w:aliases w:val="TOC style Char"/>
    <w:link w:val="ListParagraph"/>
    <w:uiPriority w:val="34"/>
    <w:locked/>
    <w:rsid w:val="0029390E"/>
  </w:style>
  <w:style w:type="character" w:styleId="Hyperlink">
    <w:name w:val="Hyperlink"/>
    <w:basedOn w:val="DefaultParagraphFont"/>
    <w:uiPriority w:val="99"/>
    <w:unhideWhenUsed/>
    <w:rsid w:val="0029390E"/>
    <w:rPr>
      <w:color w:val="0563C1" w:themeColor="hyperlink"/>
      <w:u w:val="single"/>
    </w:rPr>
  </w:style>
  <w:style w:type="character" w:styleId="CommentReference">
    <w:name w:val="annotation reference"/>
    <w:basedOn w:val="DefaultParagraphFont"/>
    <w:uiPriority w:val="99"/>
    <w:semiHidden/>
    <w:unhideWhenUsed/>
    <w:rsid w:val="00FC69A9"/>
    <w:rPr>
      <w:sz w:val="16"/>
      <w:szCs w:val="16"/>
    </w:rPr>
  </w:style>
  <w:style w:type="paragraph" w:styleId="CommentText">
    <w:name w:val="annotation text"/>
    <w:basedOn w:val="Normal"/>
    <w:link w:val="CommentTextChar"/>
    <w:uiPriority w:val="99"/>
    <w:semiHidden/>
    <w:unhideWhenUsed/>
    <w:rsid w:val="00FC69A9"/>
    <w:pPr>
      <w:spacing w:line="240" w:lineRule="auto"/>
    </w:pPr>
    <w:rPr>
      <w:sz w:val="20"/>
      <w:szCs w:val="20"/>
    </w:rPr>
  </w:style>
  <w:style w:type="character" w:customStyle="1" w:styleId="CommentTextChar">
    <w:name w:val="Comment Text Char"/>
    <w:basedOn w:val="DefaultParagraphFont"/>
    <w:link w:val="CommentText"/>
    <w:uiPriority w:val="99"/>
    <w:semiHidden/>
    <w:rsid w:val="00FC69A9"/>
    <w:rPr>
      <w:sz w:val="20"/>
      <w:szCs w:val="20"/>
    </w:rPr>
  </w:style>
  <w:style w:type="paragraph" w:styleId="CommentSubject">
    <w:name w:val="annotation subject"/>
    <w:basedOn w:val="CommentText"/>
    <w:next w:val="CommentText"/>
    <w:link w:val="CommentSubjectChar"/>
    <w:uiPriority w:val="99"/>
    <w:semiHidden/>
    <w:unhideWhenUsed/>
    <w:rsid w:val="00FC69A9"/>
    <w:rPr>
      <w:b/>
      <w:bCs/>
    </w:rPr>
  </w:style>
  <w:style w:type="character" w:customStyle="1" w:styleId="CommentSubjectChar">
    <w:name w:val="Comment Subject Char"/>
    <w:basedOn w:val="CommentTextChar"/>
    <w:link w:val="CommentSubject"/>
    <w:uiPriority w:val="99"/>
    <w:semiHidden/>
    <w:rsid w:val="00FC69A9"/>
    <w:rPr>
      <w:b/>
      <w:bCs/>
      <w:sz w:val="20"/>
      <w:szCs w:val="20"/>
    </w:rPr>
  </w:style>
  <w:style w:type="character" w:styleId="UnresolvedMention">
    <w:name w:val="Unresolved Mention"/>
    <w:basedOn w:val="DefaultParagraphFont"/>
    <w:uiPriority w:val="99"/>
    <w:semiHidden/>
    <w:unhideWhenUsed/>
    <w:rsid w:val="001E40DE"/>
    <w:rPr>
      <w:color w:val="605E5C"/>
      <w:shd w:val="clear" w:color="auto" w:fill="E1DFDD"/>
    </w:rPr>
  </w:style>
  <w:style w:type="character" w:styleId="FollowedHyperlink">
    <w:name w:val="FollowedHyperlink"/>
    <w:basedOn w:val="DefaultParagraphFont"/>
    <w:uiPriority w:val="99"/>
    <w:semiHidden/>
    <w:unhideWhenUsed/>
    <w:rsid w:val="002C381A"/>
    <w:rPr>
      <w:color w:val="954F72" w:themeColor="followedHyperlink"/>
      <w:u w:val="single"/>
    </w:rPr>
  </w:style>
  <w:style w:type="paragraph" w:styleId="Header">
    <w:name w:val="header"/>
    <w:basedOn w:val="Normal"/>
    <w:link w:val="HeaderChar"/>
    <w:uiPriority w:val="99"/>
    <w:unhideWhenUsed/>
    <w:rsid w:val="003C3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20"/>
  </w:style>
  <w:style w:type="paragraph" w:styleId="Footer">
    <w:name w:val="footer"/>
    <w:basedOn w:val="Normal"/>
    <w:link w:val="FooterChar"/>
    <w:uiPriority w:val="99"/>
    <w:unhideWhenUsed/>
    <w:rsid w:val="003C3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pa.gov/lead/real-estate-disclo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Grant</dc:creator>
  <cp:keywords/>
  <dc:description/>
  <cp:lastModifiedBy>Anne Marie Edmunds</cp:lastModifiedBy>
  <cp:revision>10</cp:revision>
  <dcterms:created xsi:type="dcterms:W3CDTF">2021-01-29T23:10:00Z</dcterms:created>
  <dcterms:modified xsi:type="dcterms:W3CDTF">2022-02-02T01:29:00Z</dcterms:modified>
</cp:coreProperties>
</file>