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UNT_Top"/>
      <w:pPr>
        <w:pStyle w:val="Title"/>
      </w:pPr>
      <w:r>
        <w:t>Universal Network Theory Closure Theorem</w:t>
      </w:r>
      <w:bookmarkEnd w:id="1"/>
    </w:p>
    <w:p>
      <w:pPr>
        <w:spacing w:after="110" w:line="274" w:lineRule="auto"/>
      </w:pPr>
      <w:r>
        <w:rPr>
          <w:rFonts w:ascii="Aptos" w:hAnsi="Aptos" w:eastAsia="Aptos"/>
          <w:b/>
          <w:i w:val="0"/>
          <w:color w:val="1F252B"/>
          <w:sz w:val="21"/>
        </w:rPr>
        <w:t>Theorem ID: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UNT-CLOSURE-V001</w:t>
      </w:r>
    </w:p>
    <w:p>
      <w:pPr>
        <w:spacing w:after="110" w:line="274" w:lineRule="auto"/>
      </w:pPr>
      <w:r>
        <w:rPr>
          <w:rFonts w:ascii="Aptos" w:hAnsi="Aptos" w:eastAsia="Aptos"/>
          <w:b/>
          <w:i w:val="0"/>
          <w:color w:val="1F252B"/>
          <w:sz w:val="21"/>
        </w:rPr>
        <w:t>Date: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2026-09-19</w:t>
      </w:r>
    </w:p>
    <w:p>
      <w:pPr>
        <w:spacing w:after="110" w:line="274" w:lineRule="auto"/>
      </w:pPr>
      <w:r>
        <w:rPr>
          <w:rFonts w:ascii="Aptos" w:hAnsi="Aptos" w:eastAsia="Aptos"/>
          <w:b/>
          <w:i w:val="0"/>
          <w:color w:val="1F252B"/>
          <w:sz w:val="21"/>
        </w:rPr>
        <w:t>Claim class: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exact master composition theorem inside the declared Universal Network Theory working system. Each composed result retains its controlling proof type: exact theorem, exact conditional theorem, authenticated finite result, or adopted physical classification.</w:t>
      </w:r>
    </w:p>
    <w:p>
      <w:pPr>
        <w:spacing w:after="110" w:line="274" w:lineRule="auto"/>
      </w:pPr>
      <w:r>
        <w:rPr>
          <w:rFonts w:ascii="Aptos" w:hAnsi="Aptos" w:eastAsia="Aptos"/>
          <w:b/>
          <w:i w:val="0"/>
          <w:color w:val="1F252B"/>
          <w:sz w:val="21"/>
        </w:rPr>
        <w:t>Disposition: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UNT_WORKING_THEORY_CLOSED_BY_TYPED_COMPOSITION__RFT_COVERAGE__DOMAIN_ALPHA_REQUIREMENT__FINITE_GFT_Z1__RECORD_CONDITIONED_GEOMETRY__CONDITIONAL_EINSTEIN_RESPONSE</w:t>
      </w:r>
    </w:p>
    <w:p>
      <w:bookmarkStart w:id="2" w:name="UNT_Contents"/>
      <w:pPr>
        <w:pStyle w:val="ContentsTitle"/>
      </w:pPr>
      <w:r>
        <w:t>Contents</w:t>
      </w:r>
      <w:bookmarkEnd w:id="2"/>
    </w:p>
    <w:p>
      <w:pPr>
        <w:spacing w:after="160"/>
      </w:pPr>
      <w:r>
        <w:rPr>
          <w:rFonts w:ascii="Aptos" w:hAnsi="Aptos" w:eastAsia="Aptos"/>
          <w:color w:val="555F69"/>
          <w:sz w:val="19"/>
        </w:rPr>
        <w:t>Select a section title to jump to it.</w:t>
      </w:r>
    </w:p>
    <w:p>
      <w:pPr>
        <w:pStyle w:val="UNTTOC1"/>
      </w:pPr>
      <w:hyperlink w:anchor="UNT_Heading_001" w:history="1">
        <w:r>
          <w:rPr>
            <w:color w:val="1D5D88"/>
            <w:b/>
            <w:rFonts w:ascii="Aptos" w:hAnsi="Aptos" w:eastAsia="Aptos"/>
            <w:sz w:val="20"/>
          </w:rPr>
          <w:t>1. Universal Network Theory</w:t>
        </w:r>
      </w:hyperlink>
    </w:p>
    <w:p>
      <w:pPr>
        <w:pStyle w:val="UNTTOC1"/>
      </w:pPr>
      <w:hyperlink w:anchor="UNT_Heading_002" w:history="1">
        <w:r>
          <w:rPr>
            <w:color w:val="1D5D88"/>
            <w:b/>
            <w:rFonts w:ascii="Aptos" w:hAnsi="Aptos" w:eastAsia="Aptos"/>
            <w:sz w:val="20"/>
          </w:rPr>
          <w:t>2. Typed premises</w:t>
        </w:r>
      </w:hyperlink>
    </w:p>
    <w:p>
      <w:pPr>
        <w:pStyle w:val="UNTTOC2"/>
      </w:pPr>
      <w:hyperlink w:anchor="UNT_Heading_003" w:history="1">
        <w:r>
          <w:rPr>
            <w:color w:val="1D5D88"/>
            <w:rFonts w:ascii="Aptos" w:hAnsi="Aptos" w:eastAsia="Aptos"/>
            <w:sz w:val="19"/>
          </w:rPr>
          <w:t>2.1 Record Formation Theory domain</w:t>
        </w:r>
      </w:hyperlink>
    </w:p>
    <w:p>
      <w:pPr>
        <w:pStyle w:val="UNTTOC2"/>
      </w:pPr>
      <w:hyperlink w:anchor="UNT_Heading_004" w:history="1">
        <w:r>
          <w:rPr>
            <w:color w:val="1D5D88"/>
            <w:rFonts w:ascii="Aptos" w:hAnsi="Aptos" w:eastAsia="Aptos"/>
            <w:sz w:val="19"/>
          </w:rPr>
          <w:t>2.2 Domain alpha requirement</w:t>
        </w:r>
      </w:hyperlink>
    </w:p>
    <w:p>
      <w:pPr>
        <w:pStyle w:val="UNTTOC2"/>
      </w:pPr>
      <w:hyperlink w:anchor="UNT_Heading_005" w:history="1">
        <w:r>
          <w:rPr>
            <w:color w:val="1D5D88"/>
            <w:rFonts w:ascii="Aptos" w:hAnsi="Aptos" w:eastAsia="Aptos"/>
            <w:sz w:val="19"/>
          </w:rPr>
          <w:t>2.3 Finite Gravity Formation domain</w:t>
        </w:r>
      </w:hyperlink>
    </w:p>
    <w:p>
      <w:pPr>
        <w:pStyle w:val="UNTTOC2"/>
      </w:pPr>
      <w:hyperlink w:anchor="UNT_Heading_006" w:history="1">
        <w:r>
          <w:rPr>
            <w:color w:val="1D5D88"/>
            <w:rFonts w:ascii="Aptos" w:hAnsi="Aptos" w:eastAsia="Aptos"/>
            <w:sz w:val="19"/>
          </w:rPr>
          <w:t>2.4 Dynamical and gravitational-response domains</w:t>
        </w:r>
      </w:hyperlink>
    </w:p>
    <w:p>
      <w:pPr>
        <w:pStyle w:val="UNTTOC1"/>
      </w:pPr>
      <w:hyperlink w:anchor="UNT_Heading_007" w:history="1">
        <w:r>
          <w:rPr>
            <w:color w:val="1D5D88"/>
            <w:b/>
            <w:rFonts w:ascii="Aptos" w:hAnsi="Aptos" w:eastAsia="Aptos"/>
            <w:sz w:val="20"/>
          </w:rPr>
          <w:t>3. Component results</w:t>
        </w:r>
      </w:hyperlink>
    </w:p>
    <w:p>
      <w:pPr>
        <w:pStyle w:val="UNTTOC2"/>
      </w:pPr>
      <w:hyperlink w:anchor="UNT_Heading_008" w:history="1">
        <w:r>
          <w:rPr>
            <w:color w:val="1D5D88"/>
            <w:rFonts w:ascii="Aptos" w:hAnsi="Aptos" w:eastAsia="Aptos"/>
            <w:sz w:val="19"/>
          </w:rPr>
          <w:t>3.1 Universal record-formation coverage</w:t>
        </w:r>
      </w:hyperlink>
    </w:p>
    <w:p>
      <w:pPr>
        <w:pStyle w:val="UNTTOC2"/>
      </w:pPr>
      <w:hyperlink w:anchor="UNT_Heading_009" w:history="1">
        <w:r>
          <w:rPr>
            <w:color w:val="1D5D88"/>
            <w:rFonts w:ascii="Aptos" w:hAnsi="Aptos" w:eastAsia="Aptos"/>
            <w:sz w:val="19"/>
          </w:rPr>
          <w:t>3.2 The domain alpha requirement</w:t>
        </w:r>
      </w:hyperlink>
    </w:p>
    <w:p>
      <w:pPr>
        <w:pStyle w:val="UNTTOC2"/>
      </w:pPr>
      <w:hyperlink w:anchor="UNT_Heading_010" w:history="1">
        <w:r>
          <w:rPr>
            <w:color w:val="1D5D88"/>
            <w:rFonts w:ascii="Aptos" w:hAnsi="Aptos" w:eastAsia="Aptos"/>
            <w:sz w:val="19"/>
          </w:rPr>
          <w:t>3.3 Exact finite record envelope</w:t>
        </w:r>
      </w:hyperlink>
    </w:p>
    <w:p>
      <w:pPr>
        <w:pStyle w:val="UNTTOC2"/>
      </w:pPr>
      <w:hyperlink w:anchor="UNT_Heading_011" w:history="1">
        <w:r>
          <w:rPr>
            <w:color w:val="1D5D88"/>
            <w:rFonts w:ascii="Aptos" w:hAnsi="Aptos" w:eastAsia="Aptos"/>
            <w:sz w:val="19"/>
          </w:rPr>
          <w:t>3.4 Conditional dynamical exponent</w:t>
        </w:r>
      </w:hyperlink>
    </w:p>
    <w:p>
      <w:pPr>
        <w:pStyle w:val="UNTTOC2"/>
      </w:pPr>
      <w:hyperlink w:anchor="UNT_Heading_012" w:history="1">
        <w:r>
          <w:rPr>
            <w:color w:val="1D5D88"/>
            <w:rFonts w:ascii="Aptos" w:hAnsi="Aptos" w:eastAsia="Aptos"/>
            <w:sz w:val="19"/>
          </w:rPr>
          <w:t>3.5 Record-conditioned geometry</w:t>
        </w:r>
      </w:hyperlink>
    </w:p>
    <w:p>
      <w:pPr>
        <w:pStyle w:val="UNTTOC2"/>
      </w:pPr>
      <w:hyperlink w:anchor="UNT_Heading_013" w:history="1">
        <w:r>
          <w:rPr>
            <w:color w:val="1D5D88"/>
            <w:rFonts w:ascii="Aptos" w:hAnsi="Aptos" w:eastAsia="Aptos"/>
            <w:sz w:val="19"/>
          </w:rPr>
          <w:t>3.6 Conditional macroscopic gravitational response</w:t>
        </w:r>
      </w:hyperlink>
    </w:p>
    <w:p>
      <w:pPr>
        <w:pStyle w:val="UNTTOC1"/>
      </w:pPr>
      <w:hyperlink w:anchor="UNT_Heading_014" w:history="1">
        <w:r>
          <w:rPr>
            <w:color w:val="1D5D88"/>
            <w:b/>
            <w:rFonts w:ascii="Aptos" w:hAnsi="Aptos" w:eastAsia="Aptos"/>
            <w:sz w:val="20"/>
          </w:rPr>
          <w:t>4. Universal Network Theory Closure Theorem</w:t>
        </w:r>
      </w:hyperlink>
    </w:p>
    <w:p>
      <w:pPr>
        <w:pStyle w:val="UNTTOC2"/>
      </w:pPr>
      <w:hyperlink w:anchor="UNT_Heading_015" w:history="1">
        <w:r>
          <w:rPr>
            <w:color w:val="1D5D88"/>
            <w:rFonts w:ascii="Aptos" w:hAnsi="Aptos" w:eastAsia="Aptos"/>
            <w:sz w:val="19"/>
          </w:rPr>
          <w:t>Proof</w:t>
        </w:r>
      </w:hyperlink>
    </w:p>
    <w:p>
      <w:pPr>
        <w:pStyle w:val="UNTTOC1"/>
      </w:pPr>
      <w:hyperlink w:anchor="UNT_Heading_016" w:history="1">
        <w:r>
          <w:rPr>
            <w:color w:val="1D5D88"/>
            <w:b/>
            <w:rFonts w:ascii="Aptos" w:hAnsi="Aptos" w:eastAsia="Aptos"/>
            <w:sz w:val="20"/>
          </w:rPr>
          <w:t>5. Claim typing and theorem custody</w:t>
        </w:r>
      </w:hyperlink>
    </w:p>
    <w:p>
      <w:pPr>
        <w:pStyle w:val="UNTTOC1"/>
      </w:pPr>
      <w:hyperlink w:anchor="UNT_Heading_017" w:history="1">
        <w:r>
          <w:rPr>
            <w:color w:val="1D5D88"/>
            <w:b/>
            <w:rFonts w:ascii="Aptos" w:hAnsi="Aptos" w:eastAsia="Aptos"/>
            <w:sz w:val="20"/>
          </w:rPr>
          <w:t>6. Falsification and revision conditions</w:t>
        </w:r>
      </w:hyperlink>
    </w:p>
    <w:p>
      <w:pPr>
        <w:pStyle w:val="UNTTOC1"/>
      </w:pPr>
      <w:hyperlink w:anchor="UNT_Heading_018" w:history="1">
        <w:r>
          <w:rPr>
            <w:color w:val="1D5D88"/>
            <w:b/>
            <w:rFonts w:ascii="Aptos" w:hAnsi="Aptos" w:eastAsia="Aptos"/>
            <w:sz w:val="20"/>
          </w:rPr>
          <w:t>7. Canonical conclusion</w:t>
        </w:r>
      </w:hyperlink>
    </w:p>
    <w:p>
      <w:pPr>
        <w:spacing w:after="40"/>
      </w:pPr>
    </w:p>
    <w:p>
      <w:bookmarkStart w:id="11" w:name="UNT_Heading_001"/>
      <w:pPr>
        <w:pStyle w:val="Heading1"/>
      </w:pPr>
      <w:r>
        <w:t>1. Universal Network Theory</w:t>
      </w:r>
      <w:bookmarkEnd w:id="11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Universal Network Theory (UNT) structurally unifies quantum-scale record formation and macroscopic gravity within a single computable topological framework. Record Formation Theory (RFT) constructs discrete causal records through the ordered process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ALLOW -&gt; REQUIRE -&gt; GATE -&gt; ELECTROMAGNETISM -&gt; RECORD.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Gravity Formation Theory (GFT) evaluates the qualified finite record domain at the Gate and states the gravitational consequences. The finite Gate classification is a microscopic result. Its macroscopic consequences are carried by the separately premised record-conditioned-geometry and gravitational-response theorems.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The Universal Record Model (URM) is the executable integration and custody surface for these results. The theorem, evidence, and audit artifacts named below remain the scientific authorities.</w:t>
      </w:r>
    </w:p>
    <w:p>
      <w:bookmarkStart w:id="12" w:name="UNT_Heading_002"/>
      <w:pPr>
        <w:pStyle w:val="Heading1"/>
      </w:pPr>
      <w:r>
        <w:t>2. Typed premises</w:t>
      </w:r>
      <w:bookmarkEnd w:id="12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The theorem composes the following independently declared premise groups.</w:t>
      </w:r>
    </w:p>
    <w:p>
      <w:bookmarkStart w:id="13" w:name="UNT_Heading_003"/>
      <w:pPr>
        <w:pStyle w:val="Heading2"/>
      </w:pPr>
      <w:r>
        <w:t>2.1 Record Formation Theory domain</w:t>
      </w:r>
      <w:bookmarkEnd w:id="13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Let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R_actual,bf_FM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denote the independently fixed domain of actual bona-fide finite-mission records. Adopt the Universal Directed-Composition Law (U-DCL) on that domain and the sealed local record-coverage chain of the Axiomatic Universal Record Formation Theory (AURFT).</w:t>
      </w:r>
    </w:p>
    <w:p>
      <w:bookmarkStart w:id="14" w:name="UNT_Heading_004"/>
      <w:pPr>
        <w:pStyle w:val="Heading2"/>
      </w:pPr>
      <w:r>
        <w:t>2.2 Domain alpha requirement</w:t>
      </w:r>
      <w:bookmarkEnd w:id="14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For the active-EM construction, fix the declared controls, validity interval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I_chi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, relevance floor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delta</w:t>
      </w:r>
      <w:r>
        <w:rPr>
          <w:rFonts w:ascii="Aptos" w:hAnsi="Aptos" w:eastAsia="Aptos"/>
          <w:b w:val="0"/>
          <w:i w:val="0"/>
          <w:color w:val="1F252B"/>
          <w:sz w:val="21"/>
        </w:rPr>
        <w:t>, and nominated EM write/read lineage. For the actual-world inheritance theorem, fix one governing compact-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U(1)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domain, the eight Same-Sector Alpha Inheritance premises (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SAI1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SAI8</w:t>
      </w:r>
      <w:r>
        <w:rPr>
          <w:rFonts w:ascii="Aptos" w:hAnsi="Aptos" w:eastAsia="Aptos"/>
          <w:b w:val="0"/>
          <w:i w:val="0"/>
          <w:color w:val="1F252B"/>
          <w:sz w:val="21"/>
        </w:rPr>
        <w:t>), independently established governing-domain ancestry (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ACTVIS</w:t>
      </w:r>
      <w:r>
        <w:rPr>
          <w:rFonts w:ascii="Aptos" w:hAnsi="Aptos" w:eastAsia="Aptos"/>
          <w:b w:val="0"/>
          <w:i w:val="0"/>
          <w:color w:val="1F252B"/>
          <w:sz w:val="21"/>
        </w:rPr>
        <w:t>), and the empirical domain anchor.</w:t>
      </w:r>
    </w:p>
    <w:p>
      <w:bookmarkStart w:id="15" w:name="UNT_Heading_005"/>
      <w:pPr>
        <w:pStyle w:val="Heading2"/>
      </w:pPr>
      <w:r>
        <w:t>2.3 Finite Gravity Formation domain</w:t>
      </w:r>
      <w:bookmarkEnd w:id="15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For each authenticated finite size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L in {4,6,8,10,12}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, fix the frozen basis, owner-once chronology, admission operators,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A009--A016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density envelope, and hash-authenticated histories. The finite ARGER Gate is the adopted project-native criterion requiring: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F252B"/>
          <w:sz w:val="21"/>
        </w:rPr>
        <w:t>exact bounded record membership for every selected sector;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deduplicated authenticated probability mass greater than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0.50</w:t>
      </w:r>
      <w:r>
        <w:rPr>
          <w:rFonts w:ascii="Aptos" w:hAnsi="Aptos" w:eastAsia="Aptos"/>
          <w:b w:val="0"/>
          <w:i w:val="0"/>
          <w:color w:val="1F252B"/>
          <w:sz w:val="21"/>
        </w:rPr>
        <w:t>; and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F252B"/>
          <w:sz w:val="21"/>
        </w:rPr>
        <w:t>strictly positive authenticated finite probe visibility in every unique selected sector.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Here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L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is the independently constructed finite-domain size and one-pass horizon: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L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active cells,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2L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carrier sites,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3L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transport edges, and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L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fresh admissions before revisit. It is distinct from prefix depth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n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and retained lineage rank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q</w:t>
      </w:r>
      <w:r>
        <w:rPr>
          <w:rFonts w:ascii="Aptos" w:hAnsi="Aptos" w:eastAsia="Aptos"/>
          <w:b w:val="0"/>
          <w:i w:val="0"/>
          <w:color w:val="1F252B"/>
          <w:sz w:val="21"/>
        </w:rPr>
        <w:t>.</w:t>
      </w:r>
    </w:p>
    <w:p>
      <w:bookmarkStart w:id="16" w:name="UNT_Heading_006"/>
      <w:pPr>
        <w:pStyle w:val="Heading2"/>
      </w:pPr>
      <w:r>
        <w:t>2.4 Dynamical and gravitational-response domains</w:t>
      </w:r>
      <w:bookmarkEnd w:id="16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For the analytic dynamical statement, adopt the pinned same-model Luttinger-liquid premise (LL-P) for the clean hard-core-boson ladder. For the geometric and macroscopic response statements, adopt the Record--Geometry Realization Law (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RGRL-A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RGRL-C</w:t>
      </w:r>
      <w:r>
        <w:rPr>
          <w:rFonts w:ascii="Aptos" w:hAnsi="Aptos" w:eastAsia="Aptos"/>
          <w:b w:val="0"/>
          <w:i w:val="0"/>
          <w:color w:val="1F252B"/>
          <w:sz w:val="21"/>
        </w:rPr>
        <w:t>) and the five working-theory-closure hypotheses (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WTC-H5</w:t>
      </w:r>
      <w:r>
        <w:rPr>
          <w:rFonts w:ascii="Aptos" w:hAnsi="Aptos" w:eastAsia="Aptos"/>
          <w:b w:val="0"/>
          <w:i w:val="0"/>
          <w:color w:val="1F252B"/>
          <w:sz w:val="21"/>
        </w:rPr>
        <w:t>) on their declared shared infrared domain.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94" w:bottom="1008" w:left="1094" w:header="432" w:footer="432" w:gutter="0"/>
          <w:cols w:space="720"/>
          <w:docGrid w:linePitch="360"/>
        </w:sectPr>
      </w:pPr>
    </w:p>
    <w:p>
      <w:bookmarkStart w:id="17" w:name="UNT_Heading_007"/>
      <w:pPr>
        <w:pStyle w:val="Heading1"/>
      </w:pPr>
      <w:r>
        <w:t>3. Component results</w:t>
      </w:r>
      <w:bookmarkEnd w:id="17"/>
    </w:p>
    <w:p>
      <w:bookmarkStart w:id="18" w:name="UNT_Heading_008"/>
      <w:pPr>
        <w:pStyle w:val="Heading2"/>
      </w:pPr>
      <w:r>
        <w:t>3.1 Universal record-formation coverage</w:t>
      </w:r>
      <w:bookmarkEnd w:id="18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AURFT proves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U-DCL</w:t>
        <w:br/>
      </w:r>
      <w:r>
        <w:rPr>
          <w:rFonts w:ascii="Aptos Mono" w:hAnsi="Aptos Mono" w:eastAsia="Aptos Mono"/>
          <w:color w:val="1F252B"/>
          <w:sz w:val="18"/>
        </w:rPr>
        <w:t xml:space="preserve">  =&gt; for every r in R_actual,bf_FM, COV_union(r).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Thus every record in the independently fixed domain satisfies universal Coverage-U inside the adopted U-DCL physical axiom system.</w:t>
      </w:r>
    </w:p>
    <w:p>
      <w:bookmarkStart w:id="19" w:name="UNT_Heading_009"/>
      <w:pPr>
        <w:pStyle w:val="Heading2"/>
      </w:pPr>
      <w:r>
        <w:t>3.2 The domain alpha requirement</w:t>
      </w:r>
      <w:bookmarkEnd w:id="19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The active-EM construction proves the exact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ALLOW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interval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I_chi intersect ((-ln(1-delta))/(4*pi*B^2), infinity).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Within the governing compact-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U(1)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domain, the same-sector inheritance theorem proves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ACTVIS(r,W_obs)</w:t>
        <w:br/>
      </w:r>
      <w:r>
        <w:rPr>
          <w:rFonts w:ascii="Aptos Mono" w:hAnsi="Aptos Mono" w:eastAsia="Aptos Mono"/>
          <w:color w:val="1F252B"/>
          <w:sz w:val="18"/>
        </w:rPr>
        <w:t xml:space="preserve">  =&gt; alpha_r(chi) = T_(chi&lt;-chi0)[alpha_obs(chi0)].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Alpha and its renormalization-group trajectory are therefore constitutive identity data for every record in that typed governing domain.</w:t>
      </w:r>
    </w:p>
    <w:p>
      <w:bookmarkStart w:id="20" w:name="UNT_Heading_010"/>
      <w:pPr>
        <w:pStyle w:val="Heading2"/>
      </w:pPr>
      <w:r>
        <w:t>3.3 Exact finite record envelope</w:t>
      </w:r>
      <w:bookmarkEnd w:id="20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The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A009--A016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envelope has exact bounded record membership at every authenticated size. Its deduplicated masses 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43"/>
        <w:gridCol w:w="4743"/>
        <w:gridCol w:w="4743"/>
      </w:tblGrid>
      <w:tr>
        <w:trPr>
          <w:cantSplit/>
          <w:tblHeader w:val="true"/>
        </w:trPr>
        <w:tc>
          <w:tcPr>
            <w:tcW w:type="dxa" w:w="22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0364A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/>
                <w:i w:val="0"/>
                <w:color w:val="FFFFFF"/>
                <w:sz w:val="17"/>
              </w:rPr>
              <w:t>L</w:t>
            </w:r>
          </w:p>
        </w:tc>
        <w:tc>
          <w:tcPr>
            <w:tcW w:type="dxa" w:w="40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0364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selected ranks</w:t>
            </w:r>
          </w:p>
        </w:tc>
        <w:tc>
          <w:tcPr>
            <w:tcW w:type="dxa" w:w="77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0364A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authenticated finite mass</w:t>
            </w:r>
          </w:p>
        </w:tc>
      </w:tr>
      <w:tr>
        <w:trPr>
          <w:cantSplit/>
        </w:trPr>
        <w:tc>
          <w:tcPr>
            <w:tcW w:type="dxa" w:w="22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4</w:t>
            </w:r>
          </w:p>
        </w:tc>
        <w:tc>
          <w:tcPr>
            <w:tcW w:type="dxa" w:w="40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1--2</w:t>
            </w:r>
          </w:p>
        </w:tc>
        <w:tc>
          <w:tcPr>
            <w:tcW w:type="dxa" w:w="77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0.7260206189754993</w:t>
            </w:r>
          </w:p>
        </w:tc>
      </w:tr>
      <w:tr>
        <w:trPr>
          <w:cantSplit/>
        </w:trPr>
        <w:tc>
          <w:tcPr>
            <w:tcW w:type="dxa" w:w="22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6</w:t>
            </w:r>
          </w:p>
        </w:tc>
        <w:tc>
          <w:tcPr>
            <w:tcW w:type="dxa" w:w="40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2--3</w:t>
            </w:r>
          </w:p>
        </w:tc>
        <w:tc>
          <w:tcPr>
            <w:tcW w:type="dxa" w:w="77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0.5846615608350367</w:t>
            </w:r>
          </w:p>
        </w:tc>
      </w:tr>
      <w:tr>
        <w:trPr>
          <w:cantSplit/>
        </w:trPr>
        <w:tc>
          <w:tcPr>
            <w:tcW w:type="dxa" w:w="22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8</w:t>
            </w:r>
          </w:p>
        </w:tc>
        <w:tc>
          <w:tcPr>
            <w:tcW w:type="dxa" w:w="40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2--4</w:t>
            </w:r>
          </w:p>
        </w:tc>
        <w:tc>
          <w:tcPr>
            <w:tcW w:type="dxa" w:w="77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0.7373965730354166</w:t>
            </w:r>
          </w:p>
        </w:tc>
      </w:tr>
      <w:tr>
        <w:trPr>
          <w:cantSplit/>
        </w:trPr>
        <w:tc>
          <w:tcPr>
            <w:tcW w:type="dxa" w:w="22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10</w:t>
            </w:r>
          </w:p>
        </w:tc>
        <w:tc>
          <w:tcPr>
            <w:tcW w:type="dxa" w:w="40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3--5</w:t>
            </w:r>
          </w:p>
        </w:tc>
        <w:tc>
          <w:tcPr>
            <w:tcW w:type="dxa" w:w="77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0.6500987927669427</w:t>
            </w:r>
          </w:p>
        </w:tc>
      </w:tr>
      <w:tr>
        <w:trPr>
          <w:cantSplit/>
        </w:trPr>
        <w:tc>
          <w:tcPr>
            <w:tcW w:type="dxa" w:w="2281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12</w:t>
            </w:r>
          </w:p>
        </w:tc>
        <w:tc>
          <w:tcPr>
            <w:tcW w:type="dxa" w:w="403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4--6</w:t>
            </w:r>
          </w:p>
        </w:tc>
        <w:tc>
          <w:tcPr>
            <w:tcW w:type="dxa" w:w="7722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0.56956498393327842</w:t>
            </w:r>
          </w:p>
        </w:tc>
      </w:tr>
    </w:tbl>
    <w:p>
      <w:pPr>
        <w:spacing w:after="40"/>
      </w:pP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Every mass is greater than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0.50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. All 13 unique selected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(L,q)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sectors have strictly positive authenticated finite probe visibility, with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R_low &gt;= 0.4280947078156539 &gt; 0.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The three finite ARGER Gate conditions are therefore satisfied at all five authenticated sizes. The envelope realizes the finite GFT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z=1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classification, including at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L = 12</w:t>
      </w:r>
      <w:r>
        <w:rPr>
          <w:rFonts w:ascii="Aptos" w:hAnsi="Aptos" w:eastAsia="Aptos"/>
          <w:b w:val="0"/>
          <w:i w:val="0"/>
          <w:color w:val="1F252B"/>
          <w:sz w:val="21"/>
        </w:rPr>
        <w:t>.</w:t>
      </w:r>
    </w:p>
    <w:p>
      <w:bookmarkStart w:id="21" w:name="UNT_Heading_011"/>
      <w:pPr>
        <w:pStyle w:val="Heading2"/>
      </w:pPr>
      <w:r>
        <w:t>3.4 Conditional dynamical exponent</w:t>
      </w:r>
      <w:bookmarkEnd w:id="21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Under LL-P, the same declared density interval has thermodynamic dynamical exponent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z_dyn = 1 for every fixed rho in [7/48,13/48).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The finite Gate classification and the conditional thermodynamic exponent are two complete, separately typed results.</w:t>
      </w:r>
    </w:p>
    <w:p>
      <w:bookmarkStart w:id="22" w:name="UNT_Heading_012"/>
      <w:pPr>
        <w:pStyle w:val="Heading2"/>
      </w:pPr>
      <w:r>
        <w:t>3.5 Record-conditioned geometry</w:t>
      </w:r>
      <w:bookmarkEnd w:id="22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Inside adopted RGRL, qualified positive-margin retained record lineage realizes a four-dimensional record-conditioned mathematical geometry and the complete local spatial metric-deformation ancestry: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qualified retained record lineage</w:t>
        <w:br/>
      </w:r>
      <w:r>
        <w:rPr>
          <w:rFonts w:ascii="Aptos Mono" w:hAnsi="Aptos Mono" w:eastAsia="Aptos Mono"/>
          <w:color w:val="1F252B"/>
          <w:sz w:val="18"/>
        </w:rPr>
        <w:t xml:space="preserve">  -&gt; four-dimensional record-conditioned mathematical geometry</w:t>
        <w:br/>
      </w:r>
      <w:r>
        <w:rPr>
          <w:rFonts w:ascii="Aptos Mono" w:hAnsi="Aptos Mono" w:eastAsia="Aptos Mono"/>
          <w:color w:val="1F252B"/>
          <w:sz w:val="18"/>
        </w:rPr>
        <w:t xml:space="preserve">  -&gt; complete local spatial metric-deformation ancestry.</w:t>
      </w:r>
    </w:p>
    <w:p>
      <w:bookmarkStart w:id="23" w:name="UNT_Heading_013"/>
      <w:pPr>
        <w:pStyle w:val="Heading2"/>
      </w:pPr>
      <w:r>
        <w:t>3.6 Conditional macroscopic gravitational response</w:t>
      </w:r>
      <w:bookmarkEnd w:id="23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Under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WTC-H5</w:t>
      </w:r>
      <w:r>
        <w:rPr>
          <w:rFonts w:ascii="Aptos" w:hAnsi="Aptos" w:eastAsia="Aptos"/>
          <w:b w:val="0"/>
          <w:i w:val="0"/>
          <w:color w:val="1F252B"/>
          <w:sz w:val="21"/>
        </w:rPr>
        <w:t>, record-conditioned geometry has the leading nonlinear Einstein--Hilbert response on the declared infrared band:</w:t>
      </w:r>
    </w:p>
    <w:p>
      <w:pPr>
        <w:pStyle w:val="CodeBlock"/>
        <w:keepLines/>
        <w:shd w:fill="F1F3F5"/>
      </w:pPr>
      <w:r>
        <w:rPr>
          <w:rFonts w:ascii="Aptos Mono" w:hAnsi="Aptos Mono" w:eastAsia="Aptos Mono"/>
          <w:color w:val="1F252B"/>
          <w:sz w:val="18"/>
        </w:rPr>
        <w:t>Gamma_grav^(0,2)[g_R]</w:t>
        <w:br/>
      </w:r>
      <w:r>
        <w:rPr>
          <w:rFonts w:ascii="Aptos Mono" w:hAnsi="Aptos Mono" w:eastAsia="Aptos Mono"/>
          <w:color w:val="1F252B"/>
          <w:sz w:val="18"/>
        </w:rPr>
        <w:t xml:space="preserve">  = (1/(16*pi*G_obs))</w:t>
        <w:br/>
      </w:r>
      <w:r>
        <w:rPr>
          <w:rFonts w:ascii="Aptos Mono" w:hAnsi="Aptos Mono" w:eastAsia="Aptos Mono"/>
          <w:color w:val="1F252B"/>
          <w:sz w:val="18"/>
        </w:rPr>
        <w:t xml:space="preserve">    integral d^4x sqrt(-g_R) (R[g_R] - 2*Lambda_eff),</w:t>
        <w:br/>
      </w:r>
      <w:r>
        <w:rPr>
          <w:rFonts w:ascii="Aptos Mono" w:hAnsi="Aptos Mono" w:eastAsia="Aptos Mono"/>
          <w:color w:val="1F252B"/>
          <w:sz w:val="18"/>
        </w:rPr>
        <w:br/>
      </w:r>
      <w:r>
        <w:rPr>
          <w:rFonts w:ascii="Aptos Mono" w:hAnsi="Aptos Mono" w:eastAsia="Aptos Mono"/>
          <w:color w:val="1F252B"/>
          <w:sz w:val="18"/>
        </w:rPr>
        <w:t>G_mn[g_R] + Lambda_eff g_mn^R</w:t>
        <w:br/>
      </w:r>
      <w:r>
        <w:rPr>
          <w:rFonts w:ascii="Aptos Mono" w:hAnsi="Aptos Mono" w:eastAsia="Aptos Mono"/>
          <w:color w:val="1F252B"/>
          <w:sz w:val="18"/>
        </w:rPr>
        <w:t xml:space="preserve">  = 8*pi*G_obs*T_mn^complete + Delta_mn^rem,</w:t>
        <w:br/>
      </w:r>
      <w:r>
        <w:rPr>
          <w:rFonts w:ascii="Aptos Mono" w:hAnsi="Aptos Mono" w:eastAsia="Aptos Mono"/>
          <w:color w:val="1F252B"/>
          <w:sz w:val="18"/>
        </w:rPr>
        <w:br/>
      </w:r>
      <w:r>
        <w:rPr>
          <w:rFonts w:ascii="Aptos Mono" w:hAnsi="Aptos Mono" w:eastAsia="Aptos Mono"/>
          <w:color w:val="1F252B"/>
          <w:sz w:val="18"/>
        </w:rPr>
        <w:t>G_obs &gt; 0.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This establishes gravity as the macroscopic reciprocal response of record-conditioned geometry: retained physical memory lineages constitute local metric-deformation directions; complete stress changes that metric; and the changed metric alters subsequent matter, EM, clock, probe, and record propagation.</w:t>
      </w:r>
    </w:p>
    <w:p>
      <w:bookmarkStart w:id="24" w:name="UNT_Heading_014"/>
      <w:pPr>
        <w:pStyle w:val="Heading1"/>
      </w:pPr>
      <w:r>
        <w:t>4. Universal Network Theory Closure Theorem</w:t>
      </w:r>
      <w:bookmarkEnd w:id="24"/>
    </w:p>
    <w:p>
      <w:pPr>
        <w:spacing w:after="110" w:line="274" w:lineRule="auto"/>
      </w:pPr>
      <w:r>
        <w:rPr>
          <w:rFonts w:ascii="Aptos" w:hAnsi="Aptos" w:eastAsia="Aptos"/>
          <w:b/>
          <w:i w:val="0"/>
          <w:color w:val="1F252B"/>
          <w:sz w:val="21"/>
        </w:rPr>
        <w:t xml:space="preserve">Theorem </w:t>
      </w:r>
      <w:r>
        <w:rPr>
          <w:rFonts w:ascii="Aptos Mono" w:hAnsi="Aptos Mono" w:eastAsia="Aptos Mono"/>
          <w:b/>
          <w:i w:val="0"/>
          <w:color w:val="1F252B"/>
          <w:sz w:val="19"/>
          <w:shd w:fill="F1F3F5"/>
        </w:rPr>
        <w:t>UNT-CLOSURE</w:t>
      </w:r>
      <w:r>
        <w:rPr>
          <w:rFonts w:ascii="Aptos" w:hAnsi="Aptos" w:eastAsia="Aptos"/>
          <w:b/>
          <w:i w:val="0"/>
          <w:color w:val="1F252B"/>
          <w:sz w:val="21"/>
        </w:rPr>
        <w:t>.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Fix the declared domains and premise groups in section 2. Then: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F252B"/>
          <w:sz w:val="21"/>
        </w:rPr>
        <w:t>every actual bona-fide finite-mission record in the AURFT domain satisfies universal Coverage-U;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the active-EM construction has its exact alpha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ALLOW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interval, and every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ACTVIS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record in the governing compact-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U(1)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domain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REQUIRE</w:t>
      </w:r>
      <w:r>
        <w:rPr>
          <w:rFonts w:ascii="Aptos" w:hAnsi="Aptos" w:eastAsia="Aptos"/>
          <w:b w:val="0"/>
          <w:i w:val="0"/>
          <w:color w:val="1F252B"/>
          <w:sz w:val="21"/>
        </w:rPr>
        <w:t>s that domain's empirically anchored alpha and renormalization-group trajectory as constitutive identity;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the authenticated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A009--A016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envelope has exact bounded membership, majority mass, and strictly positive finite probe visibility throughout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L = 4, 6, 8, 10, 12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, and therefore realizes the finite GFT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z=1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classification under the finite ARGER Gate;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under LL-P, the same density interval has thermodynamic dynamical exponent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z_dyn = 1</w:t>
      </w:r>
      <w:r>
        <w:rPr>
          <w:rFonts w:ascii="Aptos" w:hAnsi="Aptos" w:eastAsia="Aptos"/>
          <w:b w:val="0"/>
          <w:i w:val="0"/>
          <w:color w:val="1F252B"/>
          <w:sz w:val="21"/>
        </w:rPr>
        <w:t>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5. </w:t>
      </w:r>
      <w:r>
        <w:rPr>
          <w:rFonts w:ascii="Aptos" w:hAnsi="Aptos" w:eastAsia="Aptos"/>
          <w:b w:val="0"/>
          <w:i w:val="0"/>
          <w:color w:val="1F252B"/>
          <w:sz w:val="21"/>
        </w:rPr>
        <w:t>under adopted RGRL, qualified retained record lineage realizes four-dimensional record-conditioned geometry and complete local spatial metric-deformation ancestry; and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6.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under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WTC-H5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, that record-conditioned geometry has the leading nonlinear Einstein--Hilbert response with positive coefficient calibrated by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G_obs</w:t>
      </w:r>
      <w:r>
        <w:rPr>
          <w:rFonts w:ascii="Aptos" w:hAnsi="Aptos" w:eastAsia="Aptos"/>
          <w:b w:val="0"/>
          <w:i w:val="0"/>
          <w:color w:val="1F252B"/>
          <w:sz w:val="21"/>
        </w:rPr>
        <w:t>. This is the conditional macroscopic gravitational response.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These conclusions close Universal Network Theory as the typed working theory of quantum-scale record formation, finite gravity formation, and conditional macroscopic gravitational response.</w:t>
      </w:r>
    </w:p>
    <w:p>
      <w:bookmarkStart w:id="25" w:name="UNT_Heading_015"/>
      <w:pPr>
        <w:pStyle w:val="Heading2"/>
      </w:pPr>
      <w:r>
        <w:t>Proof</w:t>
      </w:r>
      <w:bookmarkEnd w:id="25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Apply AURFT-1 to U-DCL. Universal Coverage-U follows on the independently fixed record domain.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Apply the exact active-EM construction to obtain the alpha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ALLOW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interval. Apply the Same-Sector Alpha Inheritance and Actual-World Alpha Identification theorems to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ACTVIS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. The domain alpha requirement and the same-sector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REQUIRE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result follow.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Apply the L4--L12 record-envelope theorem and its independent audit. Exact membership and the five majority masses follow. Join the independently authenticated 13-row finite visibility census. These are precisely the three premises of the adopted finite ARGER Gate, so the finite GFT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z=1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classification follows at every authenticated size.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Apply the conditional LL-P theorem to obtain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z_dyn = 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on the declared density interval.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Apply the post-adoption RGRL structural theorem to the qualified retained lineage. Four-dimensional record-conditioned mathematical geometry and its complete local spatial metric-deformation ancestry follow. Apply the record-first GFT working-theory theorem under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WTC-H5</w:t>
      </w:r>
      <w:r>
        <w:rPr>
          <w:rFonts w:ascii="Aptos" w:hAnsi="Aptos" w:eastAsia="Aptos"/>
          <w:b w:val="0"/>
          <w:i w:val="0"/>
          <w:color w:val="1F252B"/>
          <w:sz w:val="21"/>
        </w:rPr>
        <w:t>. The Einstein--Hilbert action, all ten metric-response equations, positive matched coefficient, and reciprocal macroscopic response follow.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RFT supplies the quantum-scale formation result. The finite ARGER Gate and the RGRL/WTC response theorem supply the two typed GFT results. Their exact composition is UNT. QED.</w:t>
      </w:r>
    </w:p>
    <w:p>
      <w:bookmarkStart w:id="26" w:name="UNT_Heading_016"/>
      <w:pPr>
        <w:pStyle w:val="Heading1"/>
      </w:pPr>
      <w:r>
        <w:t>5. Claim typing and theorem custody</w:t>
      </w:r>
      <w:bookmarkEnd w:id="26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The finite Gate classification and the infrared response theorem are independent completed layers of GFT. The finite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A009--A016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result establishes the Gate classification. RGRL and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through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WTC-H5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carry the separately typed record-conditioned-geometry response theorem. This preserves each result's declared premises and proof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43"/>
        <w:gridCol w:w="4743"/>
        <w:gridCol w:w="4743"/>
      </w:tblGrid>
      <w:tr>
        <w:trPr>
          <w:cantSplit/>
          <w:tblHeader w:val="true"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0364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UNT component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0364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Controlling result</w:t>
            </w:r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20364A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Proof status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Universal RFT coverage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hyperlink r:id="rId13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AURFT Closure Theorem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Exact theorem inside adopted U-DCL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 xml:space="preserve">Alpha </w:t>
            </w: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ALLOW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hyperlink r:id="rId14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Alpha ALLOW Construction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Exact construction theorem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 xml:space="preserve">Alpha </w:t>
            </w: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REQUIRE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hyperlink r:id="rId15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Alpha Inheritance Theorem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Exact conditional inheritance theorem with empirical domain anchor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Finite record envelope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hyperlink r:id="rId16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L4--L12 Envelope Theorem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Exact bounded theorem plus authenticated finite arithmetic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Finite ARGER Gate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hyperlink r:id="rId17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ARGER Gate Adoption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Adopted physical classification applied to proved and certified premises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 xml:space="preserve">Conditional dynamical </w:t>
            </w: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z=1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hyperlink r:id="rId18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Conditional Dynamical z=1 Theorem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Exact conditional theorem under LL-P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Record-conditioned geometry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hyperlink r:id="rId19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RGRL Structural Theorem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Exact theorem inside adopted RGRL</w:t>
            </w:r>
          </w:p>
        </w:tc>
      </w:tr>
      <w:tr>
        <w:trPr>
          <w:cantSplit/>
        </w:trPr>
        <w:tc>
          <w:tcPr>
            <w:tcW w:type="dxa" w:w="3106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Macroscopic response and audit</w:t>
            </w:r>
          </w:p>
        </w:tc>
        <w:tc>
          <w:tcPr>
            <w:tcW w:type="dxa" w:w="3975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hyperlink r:id="rId20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Record-First GFT Closure</w:t>
              </w:r>
            </w:hyperlink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 xml:space="preserve"> and </w:t>
            </w:r>
            <w:hyperlink r:id="rId21" w:history="1">
              <w:r>
                <w:rPr>
                  <w:color w:val="1D5D88"/>
                  <w:u w:val="single"/>
                  <w:rFonts w:ascii="Aptos" w:hAnsi="Aptos" w:eastAsia="Aptos"/>
                  <w:sz w:val="17"/>
                </w:rPr>
                <w:t>independent audit</w:t>
              </w:r>
            </w:hyperlink>
          </w:p>
        </w:tc>
        <w:tc>
          <w:tcPr>
            <w:tcW w:type="dxa" w:w="6957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  <w:shd w:fill="EEF4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 xml:space="preserve">Exact conditional theorem under RGRL and </w:t>
            </w: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WTC-H1</w:t>
            </w: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>--</w:t>
            </w: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WTC-H5</w:t>
            </w:r>
            <w:r>
              <w:rPr>
                <w:rFonts w:ascii="Aptos" w:hAnsi="Aptos" w:eastAsia="Aptos"/>
                <w:b w:val="0"/>
                <w:i w:val="0"/>
                <w:color w:val="1F252B"/>
                <w:sz w:val="17"/>
              </w:rPr>
              <w:t xml:space="preserve">; project review </w:t>
            </w:r>
            <w:r>
              <w:rPr>
                <w:rFonts w:ascii="Aptos Mono" w:hAnsi="Aptos Mono" w:eastAsia="Aptos Mono"/>
                <w:b w:val="0"/>
                <w:i w:val="0"/>
                <w:color w:val="1F252B"/>
                <w:sz w:val="17"/>
                <w:shd w:fill="F1F3F5"/>
              </w:rPr>
              <w:t>ACCEPT / CLEAN</w:t>
            </w:r>
          </w:p>
        </w:tc>
      </w:tr>
    </w:tbl>
    <w:p>
      <w:pPr>
        <w:spacing w:after="40"/>
      </w:pPr>
    </w:p>
    <w:p>
      <w:bookmarkStart w:id="27" w:name="UNT_Heading_017"/>
      <w:pPr>
        <w:pStyle w:val="Heading1"/>
      </w:pPr>
      <w:r>
        <w:t>6. Falsification and revision conditions</w:t>
      </w:r>
      <w:bookmarkEnd w:id="27"/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The closure is exposed to the controlling premise boundaries already declared by its component theorems: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F252B"/>
          <w:sz w:val="21"/>
        </w:rPr>
        <w:t>one independently admitted actual bona-fide finite-mission record that exhaustively excludes the U-DCL witness refutes the universal U-DCL physical postulate;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a valid same-sector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ACTVIS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record whose coupling or trajectory differs from its fixed governing domain refutes the alpha inheritance conclusion;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F252B"/>
          <w:sz w:val="21"/>
        </w:rPr>
        <w:t>a hash-authenticated error in bounded membership, majority mass, or any of the 13 finite visibility rows revises the finite ARGER Gate application;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F252B"/>
          <w:sz w:val="21"/>
        </w:rPr>
        <w:t>a valid counterexample to LL-P on its declared model domain revises the conditional thermodynamic exponent statement;</w:t>
      </w:r>
    </w:p>
    <w:p>
      <w:pPr>
        <w:pStyle w:val="ListParagraph"/>
        <w:spacing w:after="64" w:line="264" w:lineRule="auto"/>
        <w:ind w:left="389" w:hanging="259"/>
      </w:pPr>
      <w:r>
        <w:rPr>
          <w:rFonts w:ascii="Aptos" w:hAnsi="Aptos" w:eastAsia="Aptos"/>
          <w:sz w:val="21"/>
        </w:rPr>
        <w:t xml:space="preserve">5. 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a valid counterexample to RGRL or a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WTC-H1</w:t>
      </w:r>
      <w:r>
        <w:rPr>
          <w:rFonts w:ascii="Aptos" w:hAnsi="Aptos" w:eastAsia="Aptos"/>
          <w:b w:val="0"/>
          <w:i w:val="0"/>
          <w:color w:val="1F252B"/>
          <w:sz w:val="21"/>
        </w:rPr>
        <w:t>--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WTC-H5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premise revises the corresponding geometric or macroscopic response conclusion.</w:t>
      </w:r>
    </w:p>
    <w:p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>These are type-local revision conditions: each acts on the result that owns the premise.</w:t>
      </w:r>
    </w:p>
    <w:p>
      <w:bookmarkStart w:id="28" w:name="UNT_Heading_018"/>
      <w:pPr>
        <w:pStyle w:val="Heading1"/>
      </w:pPr>
      <w:r>
        <w:t>7. Canonical conclusion</w:t>
      </w:r>
      <w:bookmarkEnd w:id="28"/>
    </w:p>
    <w:p>
      <w:bookmarkStart w:id="3" w:name="UNT_Bottom"/>
      <w:pPr>
        <w:spacing w:after="110" w:line="274" w:lineRule="auto"/>
      </w:pPr>
      <w:r>
        <w:rPr>
          <w:rFonts w:ascii="Aptos" w:hAnsi="Aptos" w:eastAsia="Aptos"/>
          <w:b w:val="0"/>
          <w:i w:val="0"/>
          <w:color w:val="1F252B"/>
          <w:sz w:val="21"/>
        </w:rPr>
        <w:t xml:space="preserve">Universal Network Theory is closed as the declared working theory by exact typed composition. RFT proves universal record-formation coverage inside its adopted physical axiom system and, for records with independently established governing-domain ancestry under the same-sector inheritance premises, fixes alpha as the constitutive identity of the governing domain. GFT proves the finite </w:t>
      </w:r>
      <w:r>
        <w:rPr>
          <w:rFonts w:ascii="Aptos Mono" w:hAnsi="Aptos Mono" w:eastAsia="Aptos Mono"/>
          <w:b w:val="0"/>
          <w:i w:val="0"/>
          <w:color w:val="1F252B"/>
          <w:sz w:val="19"/>
          <w:shd w:fill="F1F3F5"/>
        </w:rPr>
        <w:t>z=1</w:t>
      </w:r>
      <w:r>
        <w:rPr>
          <w:rFonts w:ascii="Aptos" w:hAnsi="Aptos" w:eastAsia="Aptos"/>
          <w:b w:val="0"/>
          <w:i w:val="0"/>
          <w:color w:val="1F252B"/>
          <w:sz w:val="21"/>
        </w:rPr>
        <w:t xml:space="preserve"> Gate classification from the complete authenticated microscopic domain and, through its explicit continuum premises, derives the macroscopic reciprocal Einstein response of record-conditioned geometry.</w:t>
      </w:r>
      <w:bookmarkEnd w:id="3"/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835" w:right="806" w:bottom="893" w:left="80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ptos" w:hAnsi="Aptos" w:eastAsia="Aptos"/>
        <w:color w:val="555F69"/>
        <w:sz w:val="17"/>
      </w:rPr>
      <w:t xml:space="preserve">Page </w:t>
    </w:r>
    <w:r>
      <w:rPr>
        <w:rFonts w:ascii="Aptos" w:hAnsi="Aptos" w:eastAsia="Aptos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ptos" w:hAnsi="Aptos" w:eastAsia="Aptos"/>
        <w:color w:val="555F69"/>
        <w:sz w:val="17"/>
      </w:rPr>
      <w:t xml:space="preserve">Page </w:t>
    </w:r>
    <w:r>
      <w:rPr>
        <w:rFonts w:ascii="Aptos" w:hAnsi="Aptos" w:eastAsia="Aptos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ptos" w:hAnsi="Aptos" w:eastAsia="Aptos"/>
        <w:color w:val="555F69"/>
        <w:sz w:val="16"/>
      </w:rPr>
      <w:t>Universal Network Theory Closure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ptos" w:hAnsi="Aptos" w:eastAsia="Aptos"/>
        <w:color w:val="555F69"/>
        <w:sz w:val="16"/>
      </w:rPr>
      <w:t>Universal Network Theory Closure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74" w:lineRule="auto"/>
    </w:pPr>
    <w:rPr>
      <w:rFonts w:ascii="Aptos" w:hAnsi="Aptos" w:eastAsia="Aptos"/>
      <w:color w:val="1F252B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9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40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Title">
    <w:name w:val="Contents Title"/>
    <w:pPr>
      <w:spacing w:before="260" w:after="140"/>
    </w:pPr>
    <w:rPr>
      <w:rFonts w:ascii="Aptos" w:hAnsi="Aptos"/>
      <w:b/>
      <w:color w:val="000000"/>
      <w:sz w:val="32"/>
      <w:lang w:val="en-US"/>
    </w:rPr>
  </w:style>
  <w:style w:type="paragraph" w:customStyle="1" w:styleId="CodeBlock">
    <w:name w:val="Code Block"/>
    <w:pPr>
      <w:spacing w:before="80" w:after="140" w:line="250" w:lineRule="auto"/>
      <w:ind w:left="259" w:right="173"/>
    </w:pPr>
    <w:rPr>
      <w:rFonts w:ascii="Aptos Mono" w:hAnsi="Aptos Mono"/>
      <w:color w:val="1F252B"/>
      <w:sz w:val="18"/>
      <w:lang w:val="en-US"/>
    </w:rPr>
  </w:style>
  <w:style w:type="paragraph" w:customStyle="1" w:styleId="UNTTOC1">
    <w:name w:val="UNT TOC 1"/>
    <w:pPr>
      <w:keepLines/>
      <w:spacing w:after="70"/>
    </w:pPr>
    <w:rPr>
      <w:rFonts w:ascii="Aptos" w:hAnsi="Aptos"/>
      <w:sz w:val="21"/>
      <w:lang w:val="en-US"/>
    </w:rPr>
  </w:style>
  <w:style w:type="paragraph" w:customStyle="1" w:styleId="UNTTOC2">
    <w:name w:val="UNT TOC 2"/>
    <w:pPr>
      <w:keepLines/>
      <w:spacing w:after="56"/>
      <w:ind w:left="346"/>
    </w:pPr>
    <w:rPr>
      <w:rFonts w:ascii="Aptos" w:hAnsi="Aptos"/>
      <w:sz w:val="19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LANE_RFT_AXIOMATIC_URFT_CLOSURE_V001/THEOREM.md" TargetMode="External"/><Relationship Id="rId14" Type="http://schemas.openxmlformats.org/officeDocument/2006/relationships/hyperlink" Target="LANE_RFT_ALPHA_SECTOR_INHERITANCE_V001/ALTERNATIVE_RECORD_WORLD.md" TargetMode="External"/><Relationship Id="rId15" Type="http://schemas.openxmlformats.org/officeDocument/2006/relationships/hyperlink" Target="LANE_RFT_ALPHA_SECTOR_INHERITANCE_V001/THEOREM.md" TargetMode="External"/><Relationship Id="rId16" Type="http://schemas.openxmlformats.org/officeDocument/2006/relationships/hyperlink" Target="L4_L12_EXTENDIBLE_RECORD_BLOCK_THEOREM_2026-09-16.md" TargetMode="External"/><Relationship Id="rId17" Type="http://schemas.openxmlformats.org/officeDocument/2006/relationships/hyperlink" Target="ARGER_GATE_ADOPTION_2026-09-16.md" TargetMode="External"/><Relationship Id="rId18" Type="http://schemas.openxmlformats.org/officeDocument/2006/relationships/hyperlink" Target="DEVELOPMENT_R_L12_Z1_LUTTINGER_CROSSCHECK_V001/CONDITIONAL_Z1_BRIDGE_THEOREM.md" TargetMode="External"/><Relationship Id="rId19" Type="http://schemas.openxmlformats.org/officeDocument/2006/relationships/hyperlink" Target="GRAVITY_RGRL_POST_ADOPTION_STRUCTURAL_THEOREM_V001.md" TargetMode="External"/><Relationship Id="rId20" Type="http://schemas.openxmlformats.org/officeDocument/2006/relationships/hyperlink" Target="GRAVITY_RECORD_FIRST_WORKING_THEORY_CLOSURE_V001.md" TargetMode="External"/><Relationship Id="rId21" Type="http://schemas.openxmlformats.org/officeDocument/2006/relationships/hyperlink" Target="GRAVITY_RECORD_FIRST_WORKING_THEORY_CLOSURE_V001.AUDI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Network Theory Closure Theorem</dc:title>
  <dc:subject>Universal Network Theory proof and publication document</dc:subject>
  <dc:creator>Universal Network Theory</dc:creator>
  <cp:keywords>Universal Network Theory, proof index, URM, ARGER, gravity formation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