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6D7F9" w14:textId="77777777" w:rsidR="00A76AD3" w:rsidRDefault="008275FF">
      <w:pPr>
        <w:spacing w:after="3" w:line="238" w:lineRule="auto"/>
        <w:ind w:left="21" w:right="0" w:hanging="21"/>
        <w:jc w:val="left"/>
      </w:pPr>
      <w:r>
        <w:rPr>
          <w:sz w:val="48"/>
        </w:rPr>
        <w:t xml:space="preserve">EdgeShield: A Small Language Model Framework for Real-Time Detection of Lateral Movement and </w:t>
      </w:r>
    </w:p>
    <w:p w14:paraId="29786B10" w14:textId="77777777" w:rsidR="00A76AD3" w:rsidRDefault="008275FF">
      <w:pPr>
        <w:spacing w:after="0" w:line="259" w:lineRule="auto"/>
        <w:ind w:left="0" w:right="0" w:firstLine="0"/>
        <w:jc w:val="center"/>
      </w:pPr>
      <w:r>
        <w:rPr>
          <w:sz w:val="48"/>
        </w:rPr>
        <w:t>Ransomware Attacks</w:t>
      </w:r>
      <w:r>
        <w:t xml:space="preserve"> </w:t>
      </w:r>
    </w:p>
    <w:tbl>
      <w:tblPr>
        <w:tblStyle w:val="TableGrid"/>
        <w:tblW w:w="8426" w:type="dxa"/>
        <w:tblInd w:w="564" w:type="dxa"/>
        <w:tblCellMar>
          <w:top w:w="0" w:type="dxa"/>
          <w:left w:w="0" w:type="dxa"/>
          <w:bottom w:w="0" w:type="dxa"/>
          <w:right w:w="0" w:type="dxa"/>
        </w:tblCellMar>
        <w:tblLook w:val="04A0" w:firstRow="1" w:lastRow="0" w:firstColumn="1" w:lastColumn="0" w:noHBand="0" w:noVBand="1"/>
      </w:tblPr>
      <w:tblGrid>
        <w:gridCol w:w="4503"/>
        <w:gridCol w:w="3923"/>
      </w:tblGrid>
      <w:tr w:rsidR="00A76AD3" w14:paraId="20013D22" w14:textId="77777777">
        <w:trPr>
          <w:trHeight w:val="1162"/>
        </w:trPr>
        <w:tc>
          <w:tcPr>
            <w:tcW w:w="4503" w:type="dxa"/>
            <w:tcBorders>
              <w:top w:val="nil"/>
              <w:left w:val="nil"/>
              <w:bottom w:val="nil"/>
              <w:right w:val="nil"/>
            </w:tcBorders>
          </w:tcPr>
          <w:p w14:paraId="0BB0051B" w14:textId="77777777" w:rsidR="00A76AD3" w:rsidRDefault="008275FF">
            <w:pPr>
              <w:spacing w:after="0" w:line="259" w:lineRule="auto"/>
              <w:ind w:left="903" w:right="0" w:firstLine="0"/>
              <w:jc w:val="left"/>
            </w:pPr>
            <w:r>
              <w:rPr>
                <w:sz w:val="22"/>
              </w:rPr>
              <w:t>Gauravkumar Raval</w:t>
            </w:r>
            <w:r>
              <w:t xml:space="preserve"> </w:t>
            </w:r>
          </w:p>
          <w:p w14:paraId="7AC08A70" w14:textId="77777777" w:rsidR="00A76AD3" w:rsidRDefault="008275FF">
            <w:pPr>
              <w:spacing w:after="0" w:line="259" w:lineRule="auto"/>
              <w:ind w:left="0" w:right="0" w:firstLine="0"/>
              <w:jc w:val="left"/>
            </w:pPr>
            <w:r>
              <w:rPr>
                <w:i/>
              </w:rPr>
              <w:t>School of Doctoral Research and Innovation</w:t>
            </w:r>
            <w:r>
              <w:t xml:space="preserve"> </w:t>
            </w:r>
          </w:p>
          <w:p w14:paraId="478BDC47" w14:textId="77777777" w:rsidR="00A76AD3" w:rsidRDefault="008275FF">
            <w:pPr>
              <w:spacing w:after="0" w:line="259" w:lineRule="auto"/>
              <w:ind w:left="1172" w:right="0" w:firstLine="0"/>
              <w:jc w:val="left"/>
            </w:pPr>
            <w:r>
              <w:rPr>
                <w:i/>
              </w:rPr>
              <w:t>GLS University</w:t>
            </w:r>
            <w:r>
              <w:t xml:space="preserve"> </w:t>
            </w:r>
          </w:p>
          <w:p w14:paraId="5B8E77B8" w14:textId="77777777" w:rsidR="00A76AD3" w:rsidRDefault="008275FF">
            <w:pPr>
              <w:spacing w:after="0" w:line="259" w:lineRule="auto"/>
              <w:ind w:left="1053" w:right="0" w:firstLine="0"/>
              <w:jc w:val="left"/>
            </w:pPr>
            <w:r>
              <w:t xml:space="preserve">Ahmedabad, India </w:t>
            </w:r>
          </w:p>
          <w:p w14:paraId="0393A537" w14:textId="77777777" w:rsidR="00A76AD3" w:rsidRDefault="008275FF">
            <w:pPr>
              <w:spacing w:after="0" w:line="259" w:lineRule="auto"/>
              <w:ind w:left="1791" w:right="0" w:firstLine="0"/>
              <w:jc w:val="left"/>
            </w:pPr>
            <w:r>
              <w:t xml:space="preserve"> </w:t>
            </w:r>
          </w:p>
        </w:tc>
        <w:tc>
          <w:tcPr>
            <w:tcW w:w="3923" w:type="dxa"/>
            <w:tcBorders>
              <w:top w:val="nil"/>
              <w:left w:val="nil"/>
              <w:bottom w:val="nil"/>
              <w:right w:val="nil"/>
            </w:tcBorders>
          </w:tcPr>
          <w:p w14:paraId="5235DA83" w14:textId="77777777" w:rsidR="00A76AD3" w:rsidRDefault="008275FF">
            <w:pPr>
              <w:spacing w:after="0" w:line="259" w:lineRule="auto"/>
              <w:ind w:left="1074" w:right="0" w:firstLine="0"/>
              <w:jc w:val="left"/>
            </w:pPr>
            <w:r>
              <w:rPr>
                <w:sz w:val="22"/>
              </w:rPr>
              <w:t>Dr. (Prof.) Tejaskumar Bhatt</w:t>
            </w:r>
            <w:r>
              <w:t xml:space="preserve"> </w:t>
            </w:r>
          </w:p>
          <w:p w14:paraId="770CC1E2" w14:textId="77777777" w:rsidR="00A76AD3" w:rsidRDefault="008275FF">
            <w:pPr>
              <w:spacing w:after="0" w:line="259" w:lineRule="auto"/>
              <w:ind w:left="0" w:right="49" w:firstLine="0"/>
              <w:jc w:val="right"/>
            </w:pPr>
            <w:r>
              <w:rPr>
                <w:i/>
              </w:rPr>
              <w:t>Department of Computer Engineering</w:t>
            </w:r>
            <w:r>
              <w:t xml:space="preserve"> </w:t>
            </w:r>
          </w:p>
          <w:p w14:paraId="3F76E354" w14:textId="77777777" w:rsidR="00A76AD3" w:rsidRDefault="008275FF">
            <w:pPr>
              <w:spacing w:after="0" w:line="259" w:lineRule="auto"/>
              <w:ind w:left="773" w:right="0" w:firstLine="0"/>
              <w:jc w:val="center"/>
            </w:pPr>
            <w:r>
              <w:rPr>
                <w:i/>
              </w:rPr>
              <w:t>GLS University</w:t>
            </w:r>
            <w:r>
              <w:t xml:space="preserve"> </w:t>
            </w:r>
          </w:p>
          <w:p w14:paraId="4EFBDA77" w14:textId="77777777" w:rsidR="00A76AD3" w:rsidRDefault="008275FF">
            <w:pPr>
              <w:spacing w:after="0" w:line="259" w:lineRule="auto"/>
              <w:ind w:left="774" w:right="0" w:firstLine="0"/>
              <w:jc w:val="center"/>
            </w:pPr>
            <w:r>
              <w:t xml:space="preserve">Ahmedabad, India </w:t>
            </w:r>
          </w:p>
          <w:p w14:paraId="2EF8F5FA" w14:textId="77777777" w:rsidR="00A76AD3" w:rsidRDefault="008275FF">
            <w:pPr>
              <w:spacing w:after="0" w:line="259" w:lineRule="auto"/>
              <w:ind w:left="823" w:right="0" w:firstLine="0"/>
              <w:jc w:val="center"/>
            </w:pPr>
            <w:r>
              <w:t xml:space="preserve"> </w:t>
            </w:r>
          </w:p>
        </w:tc>
      </w:tr>
    </w:tbl>
    <w:p w14:paraId="6A92F580" w14:textId="77777777" w:rsidR="00A76AD3" w:rsidRDefault="00A76AD3">
      <w:pPr>
        <w:sectPr w:rsidR="00A76AD3">
          <w:pgSz w:w="11906" w:h="16838"/>
          <w:pgMar w:top="566" w:right="1058" w:bottom="1439" w:left="1077" w:header="720" w:footer="720" w:gutter="0"/>
          <w:cols w:space="720"/>
        </w:sectPr>
      </w:pPr>
    </w:p>
    <w:p w14:paraId="22E11987" w14:textId="77777777" w:rsidR="00A76AD3" w:rsidRDefault="008275FF">
      <w:pPr>
        <w:spacing w:after="98" w:line="259" w:lineRule="auto"/>
        <w:ind w:left="0" w:right="0" w:firstLine="0"/>
        <w:jc w:val="left"/>
      </w:pPr>
      <w:r>
        <w:t xml:space="preserve"> </w:t>
      </w:r>
    </w:p>
    <w:p w14:paraId="309D0458" w14:textId="77777777" w:rsidR="00A76AD3" w:rsidRDefault="008275FF">
      <w:pPr>
        <w:spacing w:after="116" w:line="236" w:lineRule="auto"/>
        <w:ind w:left="0" w:right="50" w:firstLine="200"/>
      </w:pPr>
      <w:r>
        <w:rPr>
          <w:b/>
          <w:i/>
        </w:rPr>
        <w:t>Abstract</w:t>
      </w:r>
      <w:r>
        <w:rPr>
          <w:b/>
        </w:rPr>
        <w:t>—</w:t>
      </w:r>
      <w:r>
        <w:rPr>
          <w:b/>
          <w:i/>
        </w:rPr>
        <w:t>Most ransomware incidents today do not begin with encryption. They begin with lateral movement—an attacker quietly pivoting from host to host until enough of the network is under control. Detecting both stages early is critical, but current tools face a trade-off: signature-based engines miss novel variants, while cloud-hosted LLMs are too heavy and too slow for edge deployment. In this work we present EdgeShield, a framework that uses two Small Language Models (1B–4B parameters each), fine-tuned on the Se</w:t>
      </w:r>
      <w:r>
        <w:rPr>
          <w:b/>
          <w:i/>
        </w:rPr>
        <w:t>cKnowledge corpus, to tackle each stage separately. One model—the Log Semantic Analyzer (LSA)—reads Windows authentication logs and Kerberos events looking for lateral-movement patterns mapped to MITRE ATT&amp;CK TA0008 techniques. The other—a Behavioral Pattern Detector (BPD)—monitors file-system activity and process telemetry for ransomware-like behaviour such as mass file renames and shadow-copy deletion. A shared ATT&amp;CKaligned classification layer merges their outputs, so a coordinated intrusion shows up as</w:t>
      </w:r>
      <w:r>
        <w:rPr>
          <w:b/>
          <w:i/>
        </w:rPr>
        <w:t xml:space="preserve"> one correlated alert rather than scattered anomalies. Both models are quantized to INT8 and run via ONNX Runtime, allowing the full pipeline to operate on standard edge hardware with subsecond latency per log window. This paper describes the system architecture, the tokenizer and fine-tuning procedures, the ATT&amp;CK-aligned correlation logic, an edge-oriented deployment pipeline, the evaluation plan over the DARPA OpTC and LANL datasets, an adversarial threat model, and a frank discussion of the limitations </w:t>
      </w:r>
      <w:r>
        <w:rPr>
          <w:b/>
          <w:i/>
        </w:rPr>
        <w:t>we still need to address before experimental validation.</w:t>
      </w:r>
      <w:r>
        <w:t xml:space="preserve"> </w:t>
      </w:r>
    </w:p>
    <w:p w14:paraId="12BC7592" w14:textId="77777777" w:rsidR="00A76AD3" w:rsidRDefault="008275FF">
      <w:pPr>
        <w:spacing w:after="0" w:line="248" w:lineRule="auto"/>
        <w:ind w:left="-15" w:right="36" w:firstLine="200"/>
      </w:pPr>
      <w:r>
        <w:rPr>
          <w:b/>
          <w:i/>
        </w:rPr>
        <w:t>Keywords</w:t>
      </w:r>
      <w:r>
        <w:rPr>
          <w:b/>
        </w:rPr>
        <w:t xml:space="preserve">—Small Language Models, Cybersecurity, Lateral Movement Detection, Ransomware, Edge Computing, MITRE ATT&amp;CK, ONNX Runtime, Threat </w:t>
      </w:r>
    </w:p>
    <w:p w14:paraId="62F70E18" w14:textId="77777777" w:rsidR="00A76AD3" w:rsidRDefault="008275FF">
      <w:pPr>
        <w:spacing w:after="260" w:line="248" w:lineRule="auto"/>
        <w:ind w:left="-5" w:right="36"/>
      </w:pPr>
      <w:r>
        <w:rPr>
          <w:b/>
        </w:rPr>
        <w:t>Hunting</w:t>
      </w:r>
      <w:r>
        <w:t xml:space="preserve"> </w:t>
      </w:r>
    </w:p>
    <w:p w14:paraId="3AE4A76E" w14:textId="77777777" w:rsidR="00A76AD3" w:rsidRDefault="008275FF">
      <w:pPr>
        <w:pStyle w:val="Heading1"/>
      </w:pPr>
      <w:r>
        <w:rPr>
          <w:sz w:val="20"/>
        </w:rPr>
        <w:t>I.</w:t>
      </w:r>
      <w:r>
        <w:t xml:space="preserve">  </w:t>
      </w:r>
      <w:r>
        <w:rPr>
          <w:sz w:val="20"/>
        </w:rPr>
        <w:t>I</w:t>
      </w:r>
      <w:r>
        <w:t>NTRODUCTION</w:t>
      </w:r>
      <w:r>
        <w:rPr>
          <w:sz w:val="20"/>
        </w:rPr>
        <w:t xml:space="preserve"> </w:t>
      </w:r>
    </w:p>
    <w:p w14:paraId="70F7F256" w14:textId="77777777" w:rsidR="00A76AD3" w:rsidRDefault="008275FF">
      <w:pPr>
        <w:ind w:left="-5" w:right="0"/>
      </w:pPr>
      <w:r>
        <w:t xml:space="preserve">Modern enterprise breaches rarely depend on a single exploit. In most incidents, an attacker first gains a foothold by phishing or stealing credentials, then moves laterally across the network by hopping between hosts using Remote Desktop Protocol (RDP), Pass-the-Hash, or stolen Kerberos tickets, and only at the very end installs ransomware that encrypts business-critical files [1]. Threat-intelligence telemetry from 2023 to 2024 backs this up: ransomware attacks reached an all-time high during this period, and in most documented cases the encryption stage occurred only after days, sometimes weeks, of lateral movement that went entirely undetected [2]. Signature-based intrusion detection systems (IDS), endpoint detection and response (EDR) heuristics, and security information and event management (SIEM) correlation rules are all examples of traditional defences that consistently lag behind the attack lifecycle, because adversaries continually retool their malware and tradecraft to evade known patterns [3]. </w:t>
      </w:r>
    </w:p>
    <w:p w14:paraId="7318C31A" w14:textId="77777777" w:rsidR="00A76AD3" w:rsidRDefault="008275FF">
      <w:pPr>
        <w:ind w:left="-15" w:right="0" w:firstLine="200"/>
      </w:pPr>
      <w:r>
        <w:t>Two practical realities make this difficult to fix with conventional methods. First, the volume of telemetry produced by a modern enterprise—authentication events, NetFlow records, file-system changes, process trees—vastly exceeds what an analyst team can review by hand, so any useful detection must be both automated and high-precision. Second, the most informative signals are inherently sequential and contextual: a single failed Kerberos ticket request is innocuous, but the s</w:t>
      </w:r>
      <w:r>
        <w:t xml:space="preserve">ame event in the middle of a chain of off-hours administrative logons across multiple hosts is a strong indicator of compromise. Detection therefore requires a model that can read structured logs as language and reason over the temporal sequence of events. </w:t>
      </w:r>
    </w:p>
    <w:p w14:paraId="1801B203" w14:textId="77777777" w:rsidR="00A76AD3" w:rsidRDefault="008275FF">
      <w:pPr>
        <w:ind w:left="-15" w:right="0" w:firstLine="200"/>
      </w:pPr>
      <w:r>
        <w:t xml:space="preserve">Language models offer a fresh angle on this problem. A recent LLM-based log classifier reached an F1score of 0.928 on a vulnerability-detection benchmark— nearly double what gradient-boosted baselines such as XGBoost (0.555) or LightGBM (0.432) could manage on the same data [4]. The catch is practicality: billion-parameter foundation models require expensive GPU clusters, add tens to hundreds of milliseconds of inference latency, and raise serious privacy concerns when sensitive security logs must leave the network perimeter for cloud inference [5]. For organizations subject to data-residency rules in healthcare, finance, or government, sending raw authentication telemetry to a third-party API is often a non-starter. </w:t>
      </w:r>
    </w:p>
    <w:p w14:paraId="1416D06B" w14:textId="77777777" w:rsidR="00A76AD3" w:rsidRDefault="008275FF">
      <w:pPr>
        <w:ind w:left="-15" w:right="0" w:firstLine="200"/>
      </w:pPr>
      <w:r>
        <w:t xml:space="preserve">Small Language Models (SLMs)—loosely defined as transformer architectures with fewer than eight billion parameters [6]—occupy a promising middle ground. CyberPal 2.0 demonstrated that purpose-built SLMs in the 4B–20B range, trained on the SecKnowledge 2.0 corpus, can rival frontierclass models across the full security operations centre (SOC) workflow, including detection, triage, response, and threat hunting [7]. On the industrial side, UpSight Security built a ransomware-focused SLM whose entire vocabulary is drawn from the MITRE ATT&amp;CK Enterprise Matrix; with roughly two thousand domain-specific tokens, the model can still articulate sophisticated attack narratives while remaining compact enough for on-device inference [8]. Together, these results suggest that the right answer is not necessarily a bigger model but a smaller, more carefully constrained one. </w:t>
      </w:r>
    </w:p>
    <w:p w14:paraId="4A465C9B" w14:textId="77777777" w:rsidR="00A76AD3" w:rsidRDefault="008275FF">
      <w:pPr>
        <w:ind w:left="-15" w:right="0" w:firstLine="200"/>
      </w:pPr>
      <w:r>
        <w:t xml:space="preserve">Building on these observations, we propose EdgeShield—a framework that pairs fine-tuned SLMs with ATT&amp;CK technique mapping to catch lateral movement and ransomware activity at the network edge. Our contributions are five-fold. First, we design a dual-stream SLM architecture in which one model continuously watches authentication and network logs for lateral-movement techniques (TA0008) while a second model tracks file-system and process telemetry for ransomware behaviours. Second, we define an ATT&amp;CK-aligned taxonomy that lets both models label detections at the technique and sub-technique level, providing analysts with directly actionable output instead of opaque anomaly scores. Third, we describe a two-phase fine-tuning procedure—supervised cross-entropy followed by contrastive separation of benign and malicious sequences— together with a domain-specific tokenizer that preserves the structure of security artefacts such as SIDs, GUIDs, and hex hashes. Fourth, we specify an edge deployment pipeline based on INT8 post-training quantization and ONNX Runtime that keeps inference below one second per 512token window on commodity x86 hardware. Fifth, we present an adversarial threat model that enumerates the realistic ways an attacker might attempt to evade or poison the system, and we discuss the corresponding mitigations. </w:t>
      </w:r>
    </w:p>
    <w:p w14:paraId="085B87F2" w14:textId="77777777" w:rsidR="00A76AD3" w:rsidRDefault="008275FF">
      <w:pPr>
        <w:spacing w:after="256"/>
        <w:ind w:left="-15" w:right="0" w:firstLine="200"/>
      </w:pPr>
      <w:r>
        <w:t>The remainder of this paper is organized as follows. Section II reviews related work on language models in cybersecurity, lateral-movement detection, and ransomware detection. Section III presents the EdgeShield architecture, including the LSA, the BPD, and the ATT&amp;CK-aligned classification module. Section IV details the edgedeployment strategy and the latency budget. Se</w:t>
      </w:r>
      <w:r>
        <w:t xml:space="preserve">ction V presents the evaluation plan, including datasets, metrics, and baselines. Section VI develops the threat model and discusses limitations. Section VII concludes. </w:t>
      </w:r>
    </w:p>
    <w:p w14:paraId="3A7AF607" w14:textId="77777777" w:rsidR="00A76AD3" w:rsidRDefault="008275FF">
      <w:pPr>
        <w:pStyle w:val="Heading1"/>
        <w:spacing w:after="167"/>
      </w:pPr>
      <w:r>
        <w:rPr>
          <w:sz w:val="20"/>
        </w:rPr>
        <w:t>II.</w:t>
      </w:r>
      <w:r>
        <w:t xml:space="preserve">  </w:t>
      </w:r>
      <w:r>
        <w:rPr>
          <w:sz w:val="20"/>
        </w:rPr>
        <w:t>R</w:t>
      </w:r>
      <w:r>
        <w:t xml:space="preserve">ELATED </w:t>
      </w:r>
      <w:r>
        <w:rPr>
          <w:sz w:val="20"/>
        </w:rPr>
        <w:t>W</w:t>
      </w:r>
      <w:r>
        <w:t>ORK</w:t>
      </w:r>
      <w:r>
        <w:rPr>
          <w:sz w:val="20"/>
        </w:rPr>
        <w:t xml:space="preserve"> </w:t>
      </w:r>
    </w:p>
    <w:p w14:paraId="1A3D3D57" w14:textId="77777777" w:rsidR="00A76AD3" w:rsidRDefault="008275FF">
      <w:pPr>
        <w:pStyle w:val="Heading2"/>
        <w:ind w:left="195"/>
      </w:pPr>
      <w:r>
        <w:t>A.  LLMs and SLMs in Cybersecurity</w:t>
      </w:r>
      <w:r>
        <w:rPr>
          <w:i w:val="0"/>
        </w:rPr>
        <w:t xml:space="preserve"> </w:t>
      </w:r>
    </w:p>
    <w:p w14:paraId="3A67016E" w14:textId="77777777" w:rsidR="00A76AD3" w:rsidRDefault="008275FF">
      <w:pPr>
        <w:ind w:left="-5" w:right="0"/>
      </w:pPr>
      <w:r>
        <w:t>Two large recent surveys outline the present state of research. The first [3] screened more than forty thousand candidate papers and selected one hundred and eighty-five from the leading security and software-engineering venues, finding LLM applications across malware classification, penetration testing, phishing detection, and log-based anomaly hunting. A complementary survey [5] of more than three hundred works covering twenty-five distinct models and over ten task families documents the broadening role</w:t>
      </w:r>
      <w:r>
        <w:t xml:space="preserve"> of language models across defensive cybersecurity workflows, with particular emphasis on log analysis and incident triage. </w:t>
      </w:r>
    </w:p>
    <w:p w14:paraId="1CAEB619" w14:textId="77777777" w:rsidR="00A76AD3" w:rsidRDefault="008275FF">
      <w:pPr>
        <w:ind w:left="-15" w:right="0" w:firstLine="200"/>
      </w:pPr>
      <w:r>
        <w:t>The journey on the SLM side is newer but encouraging. CyberPal 2.0 [7] trained a family of 4B–20B-parameter models on SecKnowledge 2.0 and showed that they can handle the complete SOC loop—detect, investigate, respond, hunt—with a hardware footprint dramatically smaller than that of a 70B+ baseline. At ACL 2025, [9] tested SLM inference on real edge devices and reported latency and me</w:t>
      </w:r>
      <w:r>
        <w:t xml:space="preserve">mory numbers showing that sub-8B models can sustain always-on monitoring on a single workstation. In industry, Palo Alto Networks [10] now uses SLMs of eight billion parameters or fewer as inline classifiers to screen traffic for prompt-injection and harmful-content attempts before it reaches heavier backend models—a pattern we adopt in </w:t>
      </w:r>
      <w:r>
        <w:t xml:space="preserve">EdgeShield by placing two SLMs in the data path before any heavier downstream analysis. </w:t>
      </w:r>
    </w:p>
    <w:p w14:paraId="758CAE74" w14:textId="77777777" w:rsidR="00A76AD3" w:rsidRDefault="008275FF">
      <w:pPr>
        <w:spacing w:after="182" w:line="232" w:lineRule="auto"/>
        <w:ind w:left="0" w:right="0" w:firstLine="200"/>
        <w:jc w:val="left"/>
      </w:pPr>
      <w:r>
        <w:t xml:space="preserve">A recurring question across these works is whether the inductive biases of language models, originally designed for natural text, transfer well to the highly structured artefacts of security logs. Our answer in EdgeShield is that they do, provided two conditions are met: the tokenizer must be built specifically for the log format, and the fine-tuning data must explicitly teach the model the boundary between benign and malicious sequences that look superficially similar. Without the first condition, structured fields are fragmented into meaningless sub-tokens; without the second, the model collapses to detecting any unusual log line, regardless of its security significance. </w:t>
      </w:r>
    </w:p>
    <w:p w14:paraId="310D7C05" w14:textId="77777777" w:rsidR="00A76AD3" w:rsidRDefault="008275FF">
      <w:pPr>
        <w:pStyle w:val="Heading2"/>
        <w:ind w:left="195"/>
      </w:pPr>
      <w:r>
        <w:t>B.  Lateral Movement Detection</w:t>
      </w:r>
      <w:r>
        <w:rPr>
          <w:i w:val="0"/>
        </w:rPr>
        <w:t xml:space="preserve"> </w:t>
      </w:r>
    </w:p>
    <w:p w14:paraId="6D5BAA99" w14:textId="77777777" w:rsidR="00A76AD3" w:rsidRDefault="008275FF">
      <w:pPr>
        <w:ind w:left="-5" w:right="0"/>
      </w:pPr>
      <w:r>
        <w:t xml:space="preserve">MITRE ATT&amp;CK lists lateral movement under tactic TA0008. The tactic encompasses techniques such as Remote Services (T1021) and its sub-techniques for RDP, SSH, and SMB; Use of Alternate Authentication Material (T1550), including the well-known Pass-the-Hash variant T1550.002 and the Pass-the-Ticket variant T1550.003; and Lateral Tool Transfer (T1570), which captures the movement of attacker tooling between compromised hosts [11]. A systematic survey [12] examined fifty-three detection papers published over an eight-year window and grouped them into three broad families: EDR-centric approaches that rely on host-level instrumentation; ML-based classifiers that operate on engineered features extracted from authentication or process events; and graph-analytic methods that build a host-account graph and search for anomalous traversal patterns. Strikingly, none of these studies used a language model as the primary detection engine—a gap we directly address. </w:t>
      </w:r>
    </w:p>
    <w:p w14:paraId="70ACA72A" w14:textId="77777777" w:rsidR="00A76AD3" w:rsidRDefault="008275FF">
      <w:pPr>
        <w:ind w:left="-15" w:right="0" w:firstLine="200"/>
      </w:pPr>
      <w:r>
        <w:t xml:space="preserve">Several recent papers point toward natural-language processing as a promising direction for this gap. Fuchikoma [13] combines NLP-style preprocessing of logs, a shallow neural network, and gradient-boosted trees for autonomous lateral-movement hunting; the system demonstrates that even relatively lightweight models can recover useful signal once log lines are treated as token sequences rather than as opaque records. Along a parallel track [14], researchers extracted ATT&amp;CK technique labels directly from raw Windows Event Logs and then applied quantitative path analysis over the resulting labelled graph to reconstruct multi-hop movement paths; this approach is closest in spirit to EdgeShield but does not use a generative or contrastive language-model objective. Each of these efforts addresses only part of the problem; EdgeShield attempts to unify log understanding and technique classification inside a single, lightweight model trained end-to-end on the joint task. </w:t>
      </w:r>
    </w:p>
    <w:p w14:paraId="2A95F291" w14:textId="77777777" w:rsidR="00A76AD3" w:rsidRDefault="008275FF">
      <w:pPr>
        <w:ind w:left="-15" w:right="0" w:firstLine="200"/>
      </w:pPr>
      <w:r>
        <w:t xml:space="preserve">Authentication-centric approaches have also drawn considerable attention. Methods that aggregate Windows Security Event IDs 4624 (successful logon) and 4625 (failed logon) over sliding time windows can flag brute-force activity and credential spraying, but they tend to generate large numbers of false positives during legitimate administrative operations such as patch deployment or batch login sessions. Pure graphanalytic approaches that model the host-to-host traversal as a temporal graph achieve high recall on multi-hop attacks but require expensive global recomputation when the graph changes, which limits their suitability for real-time edge deployment. EdgeShield's design is informed by these limitations: by treating log windows as token sequences and reasoning locally within each window, the LSA avoids global graph maintenance, while the contrastive fine-tuning objective explicitly suppresses false positives from common administrative patterns. </w:t>
      </w:r>
    </w:p>
    <w:p w14:paraId="55876557" w14:textId="77777777" w:rsidR="00A76AD3" w:rsidRDefault="008275FF">
      <w:pPr>
        <w:pStyle w:val="Heading2"/>
        <w:ind w:left="195"/>
      </w:pPr>
      <w:r>
        <w:t>C.  Ransomware Detection Using AI</w:t>
      </w:r>
      <w:r>
        <w:rPr>
          <w:i w:val="0"/>
        </w:rPr>
        <w:t xml:space="preserve"> </w:t>
      </w:r>
    </w:p>
    <w:p w14:paraId="46478B14" w14:textId="77777777" w:rsidR="00A76AD3" w:rsidRDefault="008275FF">
      <w:pPr>
        <w:ind w:left="-5" w:right="0"/>
      </w:pPr>
      <w:r>
        <w:t>There has been a steep rise in ransomware activity since 2020, with much of the growth attributed to Ransomware-as-aService (RaaS) platforms that lower the barrier for lessskilled operators [2]. Recent literature reviews catalogue dozens of deep-learning approaches, ranging from convolutional networks over PE-file byte streams to recurrent and transformer-based models over API-call traces. On the detection side, LogPrecis [14] applied a language model to triage malicious log entries automatically, demonst</w:t>
      </w:r>
      <w:r>
        <w:t xml:space="preserve">rating that even general-purpose pretrained models, when narrowly finetuned, can isolate suspicious log lines with high precision. Earlier work has also shown that very compact (sub-1B) models can learn security-relevant patterns when training data is tightly scoped to a narrow vulnerability class, motivating our use of SLMs for behavioural ransomware detection rather than larger general-purpose models. </w:t>
      </w:r>
    </w:p>
    <w:p w14:paraId="41AF5B40" w14:textId="77777777" w:rsidR="00A76AD3" w:rsidRDefault="008275FF">
      <w:pPr>
        <w:spacing w:after="191"/>
        <w:ind w:left="-15" w:right="0" w:firstLine="200"/>
      </w:pPr>
      <w:r>
        <w:t>Behavioural ransomware detection in particular has converged on a small set of high-signal indicators: r</w:t>
      </w:r>
      <w:r>
        <w:t>apid recursive enumeration of user document directories; deletion or disabling of Volume Shadow Copies via vssadmin or wmic; mass file renames and extension changes within a short time window; and characteristic outbound connections to staged exfiltration or command-and-control infrastructure. Detectors that use only one of these signals tend to be brittle, because real ransomware families vary considerably in tooling and ordering. EdgeShield's BPD is designed to consume all of these channels jointly and to</w:t>
      </w:r>
      <w:r>
        <w:t xml:space="preserve"> learn the distribution over their possible orderings, rather than fixing one canonical sequence. </w:t>
      </w:r>
    </w:p>
    <w:p w14:paraId="7F4C900C" w14:textId="77777777" w:rsidR="00A76AD3" w:rsidRDefault="008275FF">
      <w:pPr>
        <w:spacing w:after="0" w:line="259" w:lineRule="auto"/>
        <w:ind w:right="52"/>
        <w:jc w:val="center"/>
      </w:pPr>
      <w:r>
        <w:rPr>
          <w:sz w:val="16"/>
        </w:rPr>
        <w:t>TABLE II.   C</w:t>
      </w:r>
      <w:r>
        <w:rPr>
          <w:sz w:val="13"/>
        </w:rPr>
        <w:t xml:space="preserve">OMPARISON OF </w:t>
      </w:r>
      <w:r>
        <w:rPr>
          <w:sz w:val="16"/>
        </w:rPr>
        <w:t>R</w:t>
      </w:r>
      <w:r>
        <w:rPr>
          <w:sz w:val="13"/>
        </w:rPr>
        <w:t xml:space="preserve">ELATED </w:t>
      </w:r>
      <w:r>
        <w:rPr>
          <w:sz w:val="16"/>
        </w:rPr>
        <w:t>D</w:t>
      </w:r>
      <w:r>
        <w:rPr>
          <w:sz w:val="13"/>
        </w:rPr>
        <w:t xml:space="preserve">ETECTION </w:t>
      </w:r>
      <w:r>
        <w:rPr>
          <w:sz w:val="16"/>
        </w:rPr>
        <w:t>A</w:t>
      </w:r>
      <w:r>
        <w:rPr>
          <w:sz w:val="13"/>
        </w:rPr>
        <w:t>PPROACHES</w:t>
      </w:r>
      <w:r>
        <w:t xml:space="preserve"> </w:t>
      </w:r>
    </w:p>
    <w:tbl>
      <w:tblPr>
        <w:tblStyle w:val="TableGrid"/>
        <w:tblW w:w="3998" w:type="dxa"/>
        <w:tblInd w:w="442" w:type="dxa"/>
        <w:tblCellMar>
          <w:top w:w="62" w:type="dxa"/>
          <w:left w:w="78" w:type="dxa"/>
          <w:bottom w:w="0" w:type="dxa"/>
          <w:right w:w="33" w:type="dxa"/>
        </w:tblCellMar>
        <w:tblLook w:val="04A0" w:firstRow="1" w:lastRow="0" w:firstColumn="1" w:lastColumn="0" w:noHBand="0" w:noVBand="1"/>
      </w:tblPr>
      <w:tblGrid>
        <w:gridCol w:w="902"/>
        <w:gridCol w:w="1099"/>
        <w:gridCol w:w="1099"/>
        <w:gridCol w:w="898"/>
      </w:tblGrid>
      <w:tr w:rsidR="00A76AD3" w14:paraId="0C4369A7" w14:textId="77777777">
        <w:trPr>
          <w:trHeight w:val="499"/>
        </w:trPr>
        <w:tc>
          <w:tcPr>
            <w:tcW w:w="902" w:type="dxa"/>
            <w:tcBorders>
              <w:top w:val="single" w:sz="4" w:space="0" w:color="000000"/>
              <w:left w:val="single" w:sz="4" w:space="0" w:color="000000"/>
              <w:bottom w:val="single" w:sz="4" w:space="0" w:color="000000"/>
              <w:right w:val="single" w:sz="4" w:space="0" w:color="000000"/>
            </w:tcBorders>
          </w:tcPr>
          <w:p w14:paraId="373F087B" w14:textId="77777777" w:rsidR="00A76AD3" w:rsidRDefault="008275FF">
            <w:pPr>
              <w:spacing w:after="0" w:line="259" w:lineRule="auto"/>
              <w:ind w:left="27" w:right="0" w:firstLine="0"/>
              <w:jc w:val="left"/>
            </w:pPr>
            <w:r>
              <w:rPr>
                <w:b/>
                <w:sz w:val="16"/>
              </w:rPr>
              <w:t>Approach</w:t>
            </w:r>
            <w:r>
              <w:t xml:space="preserve"> </w:t>
            </w:r>
          </w:p>
        </w:tc>
        <w:tc>
          <w:tcPr>
            <w:tcW w:w="1099" w:type="dxa"/>
            <w:tcBorders>
              <w:top w:val="single" w:sz="4" w:space="0" w:color="000000"/>
              <w:left w:val="single" w:sz="4" w:space="0" w:color="000000"/>
              <w:bottom w:val="single" w:sz="4" w:space="0" w:color="000000"/>
              <w:right w:val="single" w:sz="4" w:space="0" w:color="000000"/>
            </w:tcBorders>
          </w:tcPr>
          <w:p w14:paraId="083534B9" w14:textId="77777777" w:rsidR="00A76AD3" w:rsidRDefault="008275FF">
            <w:pPr>
              <w:spacing w:after="0" w:line="259" w:lineRule="auto"/>
              <w:ind w:left="0" w:right="0" w:firstLine="0"/>
              <w:jc w:val="left"/>
            </w:pPr>
            <w:r>
              <w:rPr>
                <w:b/>
                <w:sz w:val="16"/>
              </w:rPr>
              <w:t>Signal Source</w:t>
            </w:r>
            <w:r>
              <w:t xml:space="preserve"> </w:t>
            </w:r>
          </w:p>
        </w:tc>
        <w:tc>
          <w:tcPr>
            <w:tcW w:w="1099" w:type="dxa"/>
            <w:tcBorders>
              <w:top w:val="single" w:sz="4" w:space="0" w:color="000000"/>
              <w:left w:val="single" w:sz="4" w:space="0" w:color="000000"/>
              <w:bottom w:val="single" w:sz="4" w:space="0" w:color="000000"/>
              <w:right w:val="single" w:sz="4" w:space="0" w:color="000000"/>
            </w:tcBorders>
          </w:tcPr>
          <w:p w14:paraId="7C344F1B" w14:textId="77777777" w:rsidR="00A76AD3" w:rsidRDefault="008275FF">
            <w:pPr>
              <w:spacing w:after="0" w:line="259" w:lineRule="auto"/>
              <w:ind w:left="0" w:firstLine="0"/>
              <w:jc w:val="center"/>
            </w:pPr>
            <w:r>
              <w:rPr>
                <w:b/>
                <w:sz w:val="16"/>
              </w:rPr>
              <w:t>Method</w:t>
            </w:r>
            <w:r>
              <w:t xml:space="preserve"> </w:t>
            </w:r>
          </w:p>
        </w:tc>
        <w:tc>
          <w:tcPr>
            <w:tcW w:w="898" w:type="dxa"/>
            <w:tcBorders>
              <w:top w:val="single" w:sz="4" w:space="0" w:color="000000"/>
              <w:left w:val="single" w:sz="4" w:space="0" w:color="000000"/>
              <w:bottom w:val="single" w:sz="4" w:space="0" w:color="000000"/>
              <w:right w:val="single" w:sz="4" w:space="0" w:color="000000"/>
            </w:tcBorders>
          </w:tcPr>
          <w:p w14:paraId="7DCBBDF5" w14:textId="77777777" w:rsidR="00A76AD3" w:rsidRDefault="008275FF">
            <w:pPr>
              <w:spacing w:after="0" w:line="259" w:lineRule="auto"/>
              <w:ind w:left="0" w:right="23" w:firstLine="0"/>
              <w:jc w:val="center"/>
            </w:pPr>
            <w:r>
              <w:rPr>
                <w:b/>
                <w:sz w:val="16"/>
              </w:rPr>
              <w:t>Edgeready</w:t>
            </w:r>
            <w:r>
              <w:t xml:space="preserve"> </w:t>
            </w:r>
          </w:p>
        </w:tc>
      </w:tr>
      <w:tr w:rsidR="00A76AD3" w14:paraId="30B853CA" w14:textId="77777777">
        <w:trPr>
          <w:trHeight w:val="499"/>
        </w:trPr>
        <w:tc>
          <w:tcPr>
            <w:tcW w:w="902" w:type="dxa"/>
            <w:tcBorders>
              <w:top w:val="single" w:sz="4" w:space="0" w:color="000000"/>
              <w:left w:val="single" w:sz="4" w:space="0" w:color="000000"/>
              <w:bottom w:val="single" w:sz="4" w:space="0" w:color="000000"/>
              <w:right w:val="single" w:sz="4" w:space="0" w:color="000000"/>
            </w:tcBorders>
          </w:tcPr>
          <w:p w14:paraId="1138D2B5" w14:textId="77777777" w:rsidR="00A76AD3" w:rsidRDefault="008275FF">
            <w:pPr>
              <w:spacing w:after="0" w:line="259" w:lineRule="auto"/>
              <w:ind w:left="240" w:right="0" w:hanging="178"/>
              <w:jc w:val="left"/>
            </w:pPr>
            <w:r>
              <w:rPr>
                <w:sz w:val="16"/>
              </w:rPr>
              <w:t>Signature IDS</w:t>
            </w:r>
            <w:r>
              <w:t xml:space="preserve"> </w:t>
            </w:r>
          </w:p>
        </w:tc>
        <w:tc>
          <w:tcPr>
            <w:tcW w:w="1099" w:type="dxa"/>
            <w:tcBorders>
              <w:top w:val="single" w:sz="4" w:space="0" w:color="000000"/>
              <w:left w:val="single" w:sz="4" w:space="0" w:color="000000"/>
              <w:bottom w:val="single" w:sz="4" w:space="0" w:color="000000"/>
              <w:right w:val="single" w:sz="4" w:space="0" w:color="000000"/>
            </w:tcBorders>
          </w:tcPr>
          <w:p w14:paraId="4BF83595" w14:textId="77777777" w:rsidR="00A76AD3" w:rsidRDefault="008275FF">
            <w:pPr>
              <w:spacing w:after="0" w:line="259" w:lineRule="auto"/>
              <w:ind w:left="33" w:right="0" w:firstLine="0"/>
              <w:jc w:val="left"/>
            </w:pPr>
            <w:r>
              <w:rPr>
                <w:sz w:val="16"/>
              </w:rPr>
              <w:t>Network/host</w:t>
            </w:r>
            <w:r>
              <w:t xml:space="preserve"> </w:t>
            </w:r>
          </w:p>
        </w:tc>
        <w:tc>
          <w:tcPr>
            <w:tcW w:w="1099" w:type="dxa"/>
            <w:tcBorders>
              <w:top w:val="single" w:sz="4" w:space="0" w:color="000000"/>
              <w:left w:val="single" w:sz="4" w:space="0" w:color="000000"/>
              <w:bottom w:val="single" w:sz="4" w:space="0" w:color="000000"/>
              <w:right w:val="single" w:sz="4" w:space="0" w:color="000000"/>
            </w:tcBorders>
          </w:tcPr>
          <w:p w14:paraId="0C2C6814" w14:textId="77777777" w:rsidR="00A76AD3" w:rsidRDefault="008275FF">
            <w:pPr>
              <w:spacing w:after="0" w:line="259" w:lineRule="auto"/>
              <w:ind w:left="0" w:right="0" w:firstLine="0"/>
              <w:jc w:val="left"/>
            </w:pPr>
            <w:r>
              <w:rPr>
                <w:sz w:val="16"/>
              </w:rPr>
              <w:t>Rule matching</w:t>
            </w:r>
            <w:r>
              <w:t xml:space="preserve"> </w:t>
            </w:r>
          </w:p>
        </w:tc>
        <w:tc>
          <w:tcPr>
            <w:tcW w:w="898" w:type="dxa"/>
            <w:tcBorders>
              <w:top w:val="single" w:sz="4" w:space="0" w:color="000000"/>
              <w:left w:val="single" w:sz="4" w:space="0" w:color="000000"/>
              <w:bottom w:val="single" w:sz="4" w:space="0" w:color="000000"/>
              <w:right w:val="single" w:sz="4" w:space="0" w:color="000000"/>
            </w:tcBorders>
          </w:tcPr>
          <w:p w14:paraId="1EA17DAA" w14:textId="77777777" w:rsidR="00A76AD3" w:rsidRDefault="008275FF">
            <w:pPr>
              <w:spacing w:after="24" w:line="259" w:lineRule="auto"/>
              <w:ind w:left="0" w:right="49" w:firstLine="0"/>
              <w:jc w:val="center"/>
            </w:pPr>
            <w:r>
              <w:rPr>
                <w:sz w:val="16"/>
              </w:rPr>
              <w:t xml:space="preserve">Yes </w:t>
            </w:r>
          </w:p>
          <w:p w14:paraId="345EB7A7" w14:textId="77777777" w:rsidR="00A76AD3" w:rsidRDefault="008275FF">
            <w:pPr>
              <w:spacing w:after="0" w:line="259" w:lineRule="auto"/>
              <w:ind w:left="0" w:right="49" w:firstLine="0"/>
              <w:jc w:val="center"/>
            </w:pPr>
            <w:r>
              <w:rPr>
                <w:sz w:val="16"/>
              </w:rPr>
              <w:t>(limited)</w:t>
            </w:r>
            <w:r>
              <w:t xml:space="preserve"> </w:t>
            </w:r>
          </w:p>
        </w:tc>
      </w:tr>
      <w:tr w:rsidR="00A76AD3" w14:paraId="2070B25D" w14:textId="77777777">
        <w:trPr>
          <w:trHeight w:val="682"/>
        </w:trPr>
        <w:tc>
          <w:tcPr>
            <w:tcW w:w="902" w:type="dxa"/>
            <w:tcBorders>
              <w:top w:val="single" w:sz="4" w:space="0" w:color="000000"/>
              <w:left w:val="single" w:sz="4" w:space="0" w:color="000000"/>
              <w:bottom w:val="single" w:sz="4" w:space="0" w:color="000000"/>
              <w:right w:val="single" w:sz="4" w:space="0" w:color="000000"/>
            </w:tcBorders>
          </w:tcPr>
          <w:p w14:paraId="2A734938" w14:textId="77777777" w:rsidR="00A76AD3" w:rsidRDefault="008275FF">
            <w:pPr>
              <w:spacing w:after="0" w:line="259" w:lineRule="auto"/>
              <w:ind w:left="0" w:right="54" w:firstLine="0"/>
              <w:jc w:val="center"/>
            </w:pPr>
            <w:r>
              <w:rPr>
                <w:sz w:val="16"/>
              </w:rPr>
              <w:t>Graph-</w:t>
            </w:r>
          </w:p>
          <w:p w14:paraId="23CCC535" w14:textId="77777777" w:rsidR="00A76AD3" w:rsidRDefault="008275FF">
            <w:pPr>
              <w:spacing w:after="21" w:line="259" w:lineRule="auto"/>
              <w:ind w:left="0" w:right="54" w:firstLine="0"/>
              <w:jc w:val="center"/>
            </w:pPr>
            <w:r>
              <w:rPr>
                <w:sz w:val="16"/>
              </w:rPr>
              <w:t xml:space="preserve">analytic </w:t>
            </w:r>
          </w:p>
          <w:p w14:paraId="01B65042" w14:textId="77777777" w:rsidR="00A76AD3" w:rsidRDefault="008275FF">
            <w:pPr>
              <w:spacing w:after="0" w:line="259" w:lineRule="auto"/>
              <w:ind w:left="0" w:right="54" w:firstLine="0"/>
              <w:jc w:val="center"/>
            </w:pPr>
            <w:r>
              <w:rPr>
                <w:sz w:val="16"/>
              </w:rPr>
              <w:t>[12]</w:t>
            </w:r>
            <w:r>
              <w:t xml:space="preserve"> </w:t>
            </w:r>
          </w:p>
        </w:tc>
        <w:tc>
          <w:tcPr>
            <w:tcW w:w="1099" w:type="dxa"/>
            <w:tcBorders>
              <w:top w:val="single" w:sz="4" w:space="0" w:color="000000"/>
              <w:left w:val="single" w:sz="4" w:space="0" w:color="000000"/>
              <w:bottom w:val="single" w:sz="4" w:space="0" w:color="000000"/>
              <w:right w:val="single" w:sz="4" w:space="0" w:color="000000"/>
            </w:tcBorders>
          </w:tcPr>
          <w:p w14:paraId="4A31AAD3" w14:textId="77777777" w:rsidR="00A76AD3" w:rsidRDefault="008275FF">
            <w:pPr>
              <w:spacing w:after="0" w:line="259" w:lineRule="auto"/>
              <w:ind w:left="0" w:firstLine="0"/>
              <w:jc w:val="center"/>
            </w:pPr>
            <w:r>
              <w:rPr>
                <w:sz w:val="16"/>
              </w:rPr>
              <w:t>Auth graph</w:t>
            </w:r>
            <w:r>
              <w:t xml:space="preserve"> </w:t>
            </w:r>
          </w:p>
        </w:tc>
        <w:tc>
          <w:tcPr>
            <w:tcW w:w="1099" w:type="dxa"/>
            <w:tcBorders>
              <w:top w:val="single" w:sz="4" w:space="0" w:color="000000"/>
              <w:left w:val="single" w:sz="4" w:space="0" w:color="000000"/>
              <w:bottom w:val="single" w:sz="4" w:space="0" w:color="000000"/>
              <w:right w:val="single" w:sz="4" w:space="0" w:color="000000"/>
            </w:tcBorders>
          </w:tcPr>
          <w:p w14:paraId="6E7338FE" w14:textId="77777777" w:rsidR="00A76AD3" w:rsidRDefault="008275FF">
            <w:pPr>
              <w:spacing w:after="0" w:line="259" w:lineRule="auto"/>
              <w:ind w:left="0" w:firstLine="0"/>
              <w:jc w:val="center"/>
            </w:pPr>
            <w:r>
              <w:rPr>
                <w:sz w:val="16"/>
              </w:rPr>
              <w:t>Path analysis</w:t>
            </w:r>
            <w:r>
              <w:t xml:space="preserve"> </w:t>
            </w:r>
          </w:p>
        </w:tc>
        <w:tc>
          <w:tcPr>
            <w:tcW w:w="898" w:type="dxa"/>
            <w:tcBorders>
              <w:top w:val="single" w:sz="4" w:space="0" w:color="000000"/>
              <w:left w:val="single" w:sz="4" w:space="0" w:color="000000"/>
              <w:bottom w:val="single" w:sz="4" w:space="0" w:color="000000"/>
              <w:right w:val="single" w:sz="4" w:space="0" w:color="000000"/>
            </w:tcBorders>
          </w:tcPr>
          <w:p w14:paraId="555E5F09" w14:textId="77777777" w:rsidR="00A76AD3" w:rsidRDefault="008275FF">
            <w:pPr>
              <w:spacing w:after="0" w:line="259" w:lineRule="auto"/>
              <w:ind w:left="0" w:right="50" w:firstLine="0"/>
              <w:jc w:val="center"/>
            </w:pPr>
            <w:r>
              <w:rPr>
                <w:sz w:val="16"/>
              </w:rPr>
              <w:t>No</w:t>
            </w:r>
            <w:r>
              <w:t xml:space="preserve"> </w:t>
            </w:r>
          </w:p>
        </w:tc>
      </w:tr>
      <w:tr w:rsidR="00A76AD3" w14:paraId="6A800B9A" w14:textId="77777777">
        <w:trPr>
          <w:trHeight w:val="494"/>
        </w:trPr>
        <w:tc>
          <w:tcPr>
            <w:tcW w:w="902" w:type="dxa"/>
            <w:tcBorders>
              <w:top w:val="single" w:sz="4" w:space="0" w:color="000000"/>
              <w:left w:val="single" w:sz="4" w:space="0" w:color="000000"/>
              <w:bottom w:val="single" w:sz="4" w:space="0" w:color="000000"/>
              <w:right w:val="single" w:sz="4" w:space="0" w:color="000000"/>
            </w:tcBorders>
          </w:tcPr>
          <w:p w14:paraId="1E776850" w14:textId="77777777" w:rsidR="00A76AD3" w:rsidRDefault="008275FF">
            <w:pPr>
              <w:spacing w:after="0" w:line="259" w:lineRule="auto"/>
              <w:ind w:left="236" w:right="0" w:hanging="227"/>
              <w:jc w:val="left"/>
            </w:pPr>
            <w:r>
              <w:rPr>
                <w:sz w:val="16"/>
              </w:rPr>
              <w:t>Fuchikoma [13]</w:t>
            </w:r>
            <w:r>
              <w:t xml:space="preserve"> </w:t>
            </w:r>
          </w:p>
        </w:tc>
        <w:tc>
          <w:tcPr>
            <w:tcW w:w="1099" w:type="dxa"/>
            <w:tcBorders>
              <w:top w:val="single" w:sz="4" w:space="0" w:color="000000"/>
              <w:left w:val="single" w:sz="4" w:space="0" w:color="000000"/>
              <w:bottom w:val="single" w:sz="4" w:space="0" w:color="000000"/>
              <w:right w:val="single" w:sz="4" w:space="0" w:color="000000"/>
            </w:tcBorders>
          </w:tcPr>
          <w:p w14:paraId="65E98653" w14:textId="77777777" w:rsidR="00A76AD3" w:rsidRDefault="008275FF">
            <w:pPr>
              <w:spacing w:after="0" w:line="259" w:lineRule="auto"/>
              <w:ind w:left="0" w:right="2" w:firstLine="0"/>
              <w:jc w:val="center"/>
            </w:pPr>
            <w:r>
              <w:rPr>
                <w:sz w:val="16"/>
              </w:rPr>
              <w:t>Logs + features</w:t>
            </w:r>
            <w:r>
              <w:t xml:space="preserve"> </w:t>
            </w:r>
          </w:p>
        </w:tc>
        <w:tc>
          <w:tcPr>
            <w:tcW w:w="1099" w:type="dxa"/>
            <w:tcBorders>
              <w:top w:val="single" w:sz="4" w:space="0" w:color="000000"/>
              <w:left w:val="single" w:sz="4" w:space="0" w:color="000000"/>
              <w:bottom w:val="single" w:sz="4" w:space="0" w:color="000000"/>
              <w:right w:val="single" w:sz="4" w:space="0" w:color="000000"/>
            </w:tcBorders>
          </w:tcPr>
          <w:p w14:paraId="4AD30002" w14:textId="77777777" w:rsidR="00A76AD3" w:rsidRDefault="008275FF">
            <w:pPr>
              <w:spacing w:after="0" w:line="259" w:lineRule="auto"/>
              <w:ind w:left="15" w:right="0" w:firstLine="0"/>
              <w:jc w:val="left"/>
            </w:pPr>
            <w:r>
              <w:rPr>
                <w:sz w:val="16"/>
              </w:rPr>
              <w:t>NLP + GBDT</w:t>
            </w:r>
            <w:r>
              <w:t xml:space="preserve"> </w:t>
            </w:r>
          </w:p>
        </w:tc>
        <w:tc>
          <w:tcPr>
            <w:tcW w:w="898" w:type="dxa"/>
            <w:tcBorders>
              <w:top w:val="single" w:sz="4" w:space="0" w:color="000000"/>
              <w:left w:val="single" w:sz="4" w:space="0" w:color="000000"/>
              <w:bottom w:val="single" w:sz="4" w:space="0" w:color="000000"/>
              <w:right w:val="single" w:sz="4" w:space="0" w:color="000000"/>
            </w:tcBorders>
          </w:tcPr>
          <w:p w14:paraId="1BB42F1C" w14:textId="77777777" w:rsidR="00A76AD3" w:rsidRDefault="008275FF">
            <w:pPr>
              <w:spacing w:after="0" w:line="259" w:lineRule="auto"/>
              <w:ind w:left="0" w:right="49" w:firstLine="0"/>
              <w:jc w:val="center"/>
            </w:pPr>
            <w:r>
              <w:rPr>
                <w:sz w:val="16"/>
              </w:rPr>
              <w:t>Partial</w:t>
            </w:r>
            <w:r>
              <w:t xml:space="preserve"> </w:t>
            </w:r>
          </w:p>
        </w:tc>
      </w:tr>
      <w:tr w:rsidR="00A76AD3" w14:paraId="24532E04" w14:textId="77777777">
        <w:trPr>
          <w:trHeight w:val="499"/>
        </w:trPr>
        <w:tc>
          <w:tcPr>
            <w:tcW w:w="902" w:type="dxa"/>
            <w:tcBorders>
              <w:top w:val="single" w:sz="4" w:space="0" w:color="000000"/>
              <w:left w:val="single" w:sz="4" w:space="0" w:color="000000"/>
              <w:bottom w:val="single" w:sz="4" w:space="0" w:color="000000"/>
              <w:right w:val="single" w:sz="4" w:space="0" w:color="000000"/>
            </w:tcBorders>
          </w:tcPr>
          <w:p w14:paraId="4D4A0942" w14:textId="77777777" w:rsidR="00A76AD3" w:rsidRDefault="008275FF">
            <w:pPr>
              <w:spacing w:after="0" w:line="259" w:lineRule="auto"/>
              <w:ind w:left="236" w:right="0" w:hanging="191"/>
              <w:jc w:val="left"/>
            </w:pPr>
            <w:r>
              <w:rPr>
                <w:sz w:val="16"/>
              </w:rPr>
              <w:t>LogPrecis [14]</w:t>
            </w:r>
            <w:r>
              <w:t xml:space="preserve"> </w:t>
            </w:r>
          </w:p>
        </w:tc>
        <w:tc>
          <w:tcPr>
            <w:tcW w:w="1099" w:type="dxa"/>
            <w:tcBorders>
              <w:top w:val="single" w:sz="4" w:space="0" w:color="000000"/>
              <w:left w:val="single" w:sz="4" w:space="0" w:color="000000"/>
              <w:bottom w:val="single" w:sz="4" w:space="0" w:color="000000"/>
              <w:right w:val="single" w:sz="4" w:space="0" w:color="000000"/>
            </w:tcBorders>
          </w:tcPr>
          <w:p w14:paraId="2C51FB8D" w14:textId="77777777" w:rsidR="00A76AD3" w:rsidRDefault="008275FF">
            <w:pPr>
              <w:spacing w:after="0" w:line="259" w:lineRule="auto"/>
              <w:ind w:left="0" w:firstLine="0"/>
              <w:jc w:val="center"/>
            </w:pPr>
            <w:r>
              <w:rPr>
                <w:sz w:val="16"/>
              </w:rPr>
              <w:t>Log lines</w:t>
            </w:r>
            <w:r>
              <w:t xml:space="preserve"> </w:t>
            </w:r>
          </w:p>
        </w:tc>
        <w:tc>
          <w:tcPr>
            <w:tcW w:w="1099" w:type="dxa"/>
            <w:tcBorders>
              <w:top w:val="single" w:sz="4" w:space="0" w:color="000000"/>
              <w:left w:val="single" w:sz="4" w:space="0" w:color="000000"/>
              <w:bottom w:val="single" w:sz="4" w:space="0" w:color="000000"/>
              <w:right w:val="single" w:sz="4" w:space="0" w:color="000000"/>
            </w:tcBorders>
          </w:tcPr>
          <w:p w14:paraId="602C0A24" w14:textId="77777777" w:rsidR="00A76AD3" w:rsidRDefault="008275FF">
            <w:pPr>
              <w:spacing w:after="0" w:line="259" w:lineRule="auto"/>
              <w:ind w:left="3" w:right="14" w:firstLine="0"/>
              <w:jc w:val="center"/>
            </w:pPr>
            <w:r>
              <w:rPr>
                <w:sz w:val="16"/>
              </w:rPr>
              <w:t>Fine-tuned LM</w:t>
            </w:r>
            <w:r>
              <w:t xml:space="preserve"> </w:t>
            </w:r>
          </w:p>
        </w:tc>
        <w:tc>
          <w:tcPr>
            <w:tcW w:w="898" w:type="dxa"/>
            <w:tcBorders>
              <w:top w:val="single" w:sz="4" w:space="0" w:color="000000"/>
              <w:left w:val="single" w:sz="4" w:space="0" w:color="000000"/>
              <w:bottom w:val="single" w:sz="4" w:space="0" w:color="000000"/>
              <w:right w:val="single" w:sz="4" w:space="0" w:color="000000"/>
            </w:tcBorders>
          </w:tcPr>
          <w:p w14:paraId="148DF095" w14:textId="77777777" w:rsidR="00A76AD3" w:rsidRDefault="008275FF">
            <w:pPr>
              <w:spacing w:after="0" w:line="259" w:lineRule="auto"/>
              <w:ind w:left="11" w:right="0" w:firstLine="0"/>
              <w:jc w:val="left"/>
            </w:pPr>
            <w:r>
              <w:rPr>
                <w:sz w:val="16"/>
              </w:rPr>
              <w:t>Cloud only</w:t>
            </w:r>
            <w:r>
              <w:t xml:space="preserve"> </w:t>
            </w:r>
          </w:p>
        </w:tc>
      </w:tr>
      <w:tr w:rsidR="00A76AD3" w14:paraId="1F089443" w14:textId="77777777">
        <w:trPr>
          <w:trHeight w:val="499"/>
        </w:trPr>
        <w:tc>
          <w:tcPr>
            <w:tcW w:w="902" w:type="dxa"/>
            <w:tcBorders>
              <w:top w:val="single" w:sz="4" w:space="0" w:color="000000"/>
              <w:left w:val="single" w:sz="4" w:space="0" w:color="000000"/>
              <w:bottom w:val="single" w:sz="4" w:space="0" w:color="000000"/>
              <w:right w:val="single" w:sz="4" w:space="0" w:color="000000"/>
            </w:tcBorders>
          </w:tcPr>
          <w:p w14:paraId="26191789" w14:textId="77777777" w:rsidR="00A76AD3" w:rsidRDefault="008275FF">
            <w:pPr>
              <w:spacing w:after="19" w:line="259" w:lineRule="auto"/>
              <w:ind w:left="0" w:right="54" w:firstLine="0"/>
              <w:jc w:val="center"/>
            </w:pPr>
            <w:r>
              <w:rPr>
                <w:sz w:val="16"/>
              </w:rPr>
              <w:t xml:space="preserve">CyberPal </w:t>
            </w:r>
          </w:p>
          <w:p w14:paraId="2BA8B292" w14:textId="77777777" w:rsidR="00A76AD3" w:rsidRDefault="008275FF">
            <w:pPr>
              <w:spacing w:after="0" w:line="259" w:lineRule="auto"/>
              <w:ind w:left="0" w:right="54" w:firstLine="0"/>
              <w:jc w:val="center"/>
            </w:pPr>
            <w:r>
              <w:rPr>
                <w:sz w:val="16"/>
              </w:rPr>
              <w:t>2.0 [7]</w:t>
            </w:r>
            <w:r>
              <w:t xml:space="preserve"> </w:t>
            </w:r>
          </w:p>
        </w:tc>
        <w:tc>
          <w:tcPr>
            <w:tcW w:w="1099" w:type="dxa"/>
            <w:tcBorders>
              <w:top w:val="single" w:sz="4" w:space="0" w:color="000000"/>
              <w:left w:val="single" w:sz="4" w:space="0" w:color="000000"/>
              <w:bottom w:val="single" w:sz="4" w:space="0" w:color="000000"/>
              <w:right w:val="single" w:sz="4" w:space="0" w:color="000000"/>
            </w:tcBorders>
          </w:tcPr>
          <w:p w14:paraId="01D74FAD" w14:textId="77777777" w:rsidR="00A76AD3" w:rsidRDefault="008275FF">
            <w:pPr>
              <w:spacing w:after="17" w:line="259" w:lineRule="auto"/>
              <w:ind w:left="0" w:right="52" w:firstLine="0"/>
              <w:jc w:val="center"/>
            </w:pPr>
            <w:r>
              <w:rPr>
                <w:sz w:val="16"/>
              </w:rPr>
              <w:t xml:space="preserve">Mixed SOC </w:t>
            </w:r>
          </w:p>
          <w:p w14:paraId="3C186203" w14:textId="77777777" w:rsidR="00A76AD3" w:rsidRDefault="008275FF">
            <w:pPr>
              <w:spacing w:after="0" w:line="259" w:lineRule="auto"/>
              <w:ind w:left="0" w:firstLine="0"/>
              <w:jc w:val="center"/>
            </w:pPr>
            <w:r>
              <w:rPr>
                <w:sz w:val="16"/>
              </w:rPr>
              <w:t>data</w:t>
            </w:r>
            <w:r>
              <w:t xml:space="preserve"> </w:t>
            </w:r>
          </w:p>
        </w:tc>
        <w:tc>
          <w:tcPr>
            <w:tcW w:w="1099" w:type="dxa"/>
            <w:tcBorders>
              <w:top w:val="single" w:sz="4" w:space="0" w:color="000000"/>
              <w:left w:val="single" w:sz="4" w:space="0" w:color="000000"/>
              <w:bottom w:val="single" w:sz="4" w:space="0" w:color="000000"/>
              <w:right w:val="single" w:sz="4" w:space="0" w:color="000000"/>
            </w:tcBorders>
          </w:tcPr>
          <w:p w14:paraId="0E74CF7B" w14:textId="77777777" w:rsidR="00A76AD3" w:rsidRDefault="008275FF">
            <w:pPr>
              <w:spacing w:after="0" w:line="259" w:lineRule="auto"/>
              <w:ind w:left="18" w:right="0" w:firstLine="0"/>
              <w:jc w:val="left"/>
            </w:pPr>
            <w:r>
              <w:rPr>
                <w:sz w:val="16"/>
              </w:rPr>
              <w:t>4B–20B SLM</w:t>
            </w:r>
            <w:r>
              <w:t xml:space="preserve"> </w:t>
            </w:r>
          </w:p>
        </w:tc>
        <w:tc>
          <w:tcPr>
            <w:tcW w:w="898" w:type="dxa"/>
            <w:tcBorders>
              <w:top w:val="single" w:sz="4" w:space="0" w:color="000000"/>
              <w:left w:val="single" w:sz="4" w:space="0" w:color="000000"/>
              <w:bottom w:val="single" w:sz="4" w:space="0" w:color="000000"/>
              <w:right w:val="single" w:sz="4" w:space="0" w:color="000000"/>
            </w:tcBorders>
          </w:tcPr>
          <w:p w14:paraId="3248699E" w14:textId="77777777" w:rsidR="00A76AD3" w:rsidRDefault="008275FF">
            <w:pPr>
              <w:spacing w:after="0" w:line="259" w:lineRule="auto"/>
              <w:ind w:left="0" w:right="49" w:firstLine="0"/>
              <w:jc w:val="center"/>
            </w:pPr>
            <w:r>
              <w:rPr>
                <w:sz w:val="16"/>
              </w:rPr>
              <w:t>Partial</w:t>
            </w:r>
            <w:r>
              <w:t xml:space="preserve"> </w:t>
            </w:r>
          </w:p>
        </w:tc>
      </w:tr>
      <w:tr w:rsidR="00A76AD3" w14:paraId="0582937F" w14:textId="77777777">
        <w:trPr>
          <w:trHeight w:val="499"/>
        </w:trPr>
        <w:tc>
          <w:tcPr>
            <w:tcW w:w="902" w:type="dxa"/>
            <w:tcBorders>
              <w:top w:val="single" w:sz="4" w:space="0" w:color="000000"/>
              <w:left w:val="single" w:sz="4" w:space="0" w:color="000000"/>
              <w:bottom w:val="single" w:sz="4" w:space="0" w:color="000000"/>
              <w:right w:val="single" w:sz="4" w:space="0" w:color="000000"/>
            </w:tcBorders>
          </w:tcPr>
          <w:p w14:paraId="272C9B38" w14:textId="77777777" w:rsidR="00A76AD3" w:rsidRDefault="008275FF">
            <w:pPr>
              <w:spacing w:after="0" w:line="259" w:lineRule="auto"/>
              <w:ind w:left="16" w:right="0" w:hanging="16"/>
              <w:jc w:val="left"/>
            </w:pPr>
            <w:r>
              <w:rPr>
                <w:sz w:val="16"/>
              </w:rPr>
              <w:t>EdgeShield (this work)</w:t>
            </w:r>
            <w:r>
              <w:t xml:space="preserve"> </w:t>
            </w:r>
          </w:p>
        </w:tc>
        <w:tc>
          <w:tcPr>
            <w:tcW w:w="1099" w:type="dxa"/>
            <w:tcBorders>
              <w:top w:val="single" w:sz="4" w:space="0" w:color="000000"/>
              <w:left w:val="single" w:sz="4" w:space="0" w:color="000000"/>
              <w:bottom w:val="single" w:sz="4" w:space="0" w:color="000000"/>
              <w:right w:val="single" w:sz="4" w:space="0" w:color="000000"/>
            </w:tcBorders>
          </w:tcPr>
          <w:p w14:paraId="754B74C1" w14:textId="77777777" w:rsidR="00A76AD3" w:rsidRDefault="008275FF">
            <w:pPr>
              <w:spacing w:after="0" w:line="259" w:lineRule="auto"/>
              <w:ind w:left="0" w:right="0" w:firstLine="0"/>
              <w:jc w:val="center"/>
            </w:pPr>
            <w:r>
              <w:rPr>
                <w:sz w:val="16"/>
              </w:rPr>
              <w:t>Auth + FS + proc</w:t>
            </w:r>
            <w:r>
              <w:t xml:space="preserve"> </w:t>
            </w:r>
          </w:p>
        </w:tc>
        <w:tc>
          <w:tcPr>
            <w:tcW w:w="1099" w:type="dxa"/>
            <w:tcBorders>
              <w:top w:val="single" w:sz="4" w:space="0" w:color="000000"/>
              <w:left w:val="single" w:sz="4" w:space="0" w:color="000000"/>
              <w:bottom w:val="single" w:sz="4" w:space="0" w:color="000000"/>
              <w:right w:val="single" w:sz="4" w:space="0" w:color="000000"/>
            </w:tcBorders>
          </w:tcPr>
          <w:p w14:paraId="6ACAFFE7" w14:textId="77777777" w:rsidR="00A76AD3" w:rsidRDefault="008275FF">
            <w:pPr>
              <w:spacing w:after="0" w:line="259" w:lineRule="auto"/>
              <w:ind w:left="0" w:right="0" w:firstLine="0"/>
              <w:jc w:val="center"/>
            </w:pPr>
            <w:r>
              <w:rPr>
                <w:sz w:val="16"/>
              </w:rPr>
              <w:t>Dual SLM + ATT&amp;CK</w:t>
            </w:r>
            <w:r>
              <w:t xml:space="preserve"> </w:t>
            </w:r>
          </w:p>
        </w:tc>
        <w:tc>
          <w:tcPr>
            <w:tcW w:w="898" w:type="dxa"/>
            <w:tcBorders>
              <w:top w:val="single" w:sz="4" w:space="0" w:color="000000"/>
              <w:left w:val="single" w:sz="4" w:space="0" w:color="000000"/>
              <w:bottom w:val="single" w:sz="4" w:space="0" w:color="000000"/>
              <w:right w:val="single" w:sz="4" w:space="0" w:color="000000"/>
            </w:tcBorders>
          </w:tcPr>
          <w:p w14:paraId="08C8416C" w14:textId="77777777" w:rsidR="00A76AD3" w:rsidRDefault="008275FF">
            <w:pPr>
              <w:spacing w:after="0" w:line="259" w:lineRule="auto"/>
              <w:ind w:left="18" w:right="27" w:firstLine="0"/>
              <w:jc w:val="center"/>
            </w:pPr>
            <w:r>
              <w:rPr>
                <w:sz w:val="16"/>
              </w:rPr>
              <w:t>Yes (INT8)</w:t>
            </w:r>
            <w:r>
              <w:t xml:space="preserve"> </w:t>
            </w:r>
          </w:p>
        </w:tc>
      </w:tr>
    </w:tbl>
    <w:p w14:paraId="7D6118A5" w14:textId="77777777" w:rsidR="00A76AD3" w:rsidRDefault="008275FF">
      <w:pPr>
        <w:spacing w:after="248" w:line="259" w:lineRule="auto"/>
        <w:ind w:left="0" w:right="0" w:firstLine="0"/>
        <w:jc w:val="left"/>
      </w:pPr>
      <w:r>
        <w:t xml:space="preserve"> </w:t>
      </w:r>
    </w:p>
    <w:p w14:paraId="10FB63E9" w14:textId="77777777" w:rsidR="00A76AD3" w:rsidRDefault="008275FF">
      <w:pPr>
        <w:pStyle w:val="Heading1"/>
        <w:spacing w:after="163"/>
        <w:ind w:right="53"/>
      </w:pPr>
      <w:r>
        <w:rPr>
          <w:sz w:val="20"/>
        </w:rPr>
        <w:t>III.</w:t>
      </w:r>
      <w:r>
        <w:t xml:space="preserve">  </w:t>
      </w:r>
      <w:r>
        <w:rPr>
          <w:sz w:val="20"/>
        </w:rPr>
        <w:t>P</w:t>
      </w:r>
      <w:r>
        <w:t xml:space="preserve">ROPOSED </w:t>
      </w:r>
      <w:r>
        <w:rPr>
          <w:sz w:val="20"/>
        </w:rPr>
        <w:t>F</w:t>
      </w:r>
      <w:r>
        <w:t>RAMEWORK</w:t>
      </w:r>
      <w:r>
        <w:rPr>
          <w:sz w:val="20"/>
        </w:rPr>
        <w:t>:</w:t>
      </w:r>
      <w:r>
        <w:t xml:space="preserve"> </w:t>
      </w:r>
      <w:r>
        <w:rPr>
          <w:sz w:val="20"/>
        </w:rPr>
        <w:t>E</w:t>
      </w:r>
      <w:r>
        <w:t>DGE</w:t>
      </w:r>
      <w:r>
        <w:rPr>
          <w:sz w:val="20"/>
        </w:rPr>
        <w:t>S</w:t>
      </w:r>
      <w:r>
        <w:t>HIELD</w:t>
      </w:r>
      <w:r>
        <w:rPr>
          <w:sz w:val="20"/>
        </w:rPr>
        <w:t xml:space="preserve"> </w:t>
      </w:r>
    </w:p>
    <w:p w14:paraId="17349FC3" w14:textId="77777777" w:rsidR="00A76AD3" w:rsidRDefault="008275FF">
      <w:pPr>
        <w:pStyle w:val="Heading2"/>
        <w:ind w:left="195"/>
      </w:pPr>
      <w:r>
        <w:t>A.  System Architecture Overview</w:t>
      </w:r>
      <w:r>
        <w:rPr>
          <w:i w:val="0"/>
        </w:rPr>
        <w:t xml:space="preserve"> </w:t>
      </w:r>
    </w:p>
    <w:p w14:paraId="58E1C591" w14:textId="77777777" w:rsidR="00A76AD3" w:rsidRDefault="008275FF">
      <w:pPr>
        <w:spacing w:after="183"/>
        <w:ind w:left="-5" w:right="0"/>
      </w:pPr>
      <w:r>
        <w:t xml:space="preserve">At a high level, EdgeShield has three layers, as shown in Fig. 1. The bottom layer is a data-ingestion module that collects security telemetry—authentication logs, network flows, filesystem events, and process telemetry—and normalizes </w:t>
      </w:r>
      <w:r>
        <w:t xml:space="preserve">them into plain-text token sequences that a language model can consume. The middle layer houses two parallel SLM instances: a Log Semantic Analyzer (LSA) focused on lateral movement, and a Behavioral Pattern Detector (BPD) focused on ransomware. The top layer is an ATT&amp;CK-aligned classifier that combines the outputs of both models, maps them onto specific MITRE techniques and sub-techniques, and forwards correlated alerts to the SOC dashboard. </w:t>
      </w:r>
    </w:p>
    <w:p w14:paraId="6955F095" w14:textId="77777777" w:rsidR="00124A2B" w:rsidRDefault="008275FF">
      <w:pPr>
        <w:spacing w:after="119" w:line="231" w:lineRule="auto"/>
        <w:ind w:left="1009" w:right="416" w:hanging="277"/>
      </w:pPr>
      <w:r>
        <w:rPr>
          <w:noProof/>
        </w:rPr>
        <w:drawing>
          <wp:inline distT="0" distB="0" distL="0" distR="0" wp14:anchorId="108B9AE3" wp14:editId="56C1ABD1">
            <wp:extent cx="2190751" cy="1638300"/>
            <wp:effectExtent l="0" t="0" r="0" b="0"/>
            <wp:docPr id="961" name="Picture 961"/>
            <wp:cNvGraphicFramePr/>
            <a:graphic xmlns:a="http://schemas.openxmlformats.org/drawingml/2006/main">
              <a:graphicData uri="http://schemas.openxmlformats.org/drawingml/2006/picture">
                <pic:pic xmlns:pic="http://schemas.openxmlformats.org/drawingml/2006/picture">
                  <pic:nvPicPr>
                    <pic:cNvPr id="961" name="Picture 961"/>
                    <pic:cNvPicPr/>
                  </pic:nvPicPr>
                  <pic:blipFill>
                    <a:blip r:embed="rId5"/>
                    <a:stretch>
                      <a:fillRect/>
                    </a:stretch>
                  </pic:blipFill>
                  <pic:spPr>
                    <a:xfrm>
                      <a:off x="0" y="0"/>
                      <a:ext cx="2190751" cy="1638300"/>
                    </a:xfrm>
                    <a:prstGeom prst="rect">
                      <a:avLst/>
                    </a:prstGeom>
                  </pic:spPr>
                </pic:pic>
              </a:graphicData>
            </a:graphic>
          </wp:inline>
        </w:drawing>
      </w:r>
      <w:r>
        <w:t xml:space="preserve"> </w:t>
      </w:r>
    </w:p>
    <w:p w14:paraId="686541B0" w14:textId="19C302FA" w:rsidR="00A76AD3" w:rsidRDefault="008275FF">
      <w:pPr>
        <w:spacing w:after="119" w:line="231" w:lineRule="auto"/>
        <w:ind w:left="1009" w:right="416" w:hanging="277"/>
      </w:pPr>
      <w:r>
        <w:rPr>
          <w:sz w:val="16"/>
        </w:rPr>
        <w:t>Fig. 1.  EdgeShield dual-stream architecture.</w:t>
      </w:r>
      <w:r>
        <w:t xml:space="preserve"> </w:t>
      </w:r>
    </w:p>
    <w:p w14:paraId="0F95DA00" w14:textId="77777777" w:rsidR="00A76AD3" w:rsidRDefault="008275FF">
      <w:pPr>
        <w:ind w:left="-15" w:right="0" w:firstLine="200"/>
      </w:pPr>
      <w:r>
        <w:t xml:space="preserve">We chose two specialist models over one multitask model for concrete reasons. Lateral-movement detection requires the model to connect authentication events across different hosts and time windows, which favours longer effective context and a token vocabulary biased toward identity and network artefacts. Ransomware detection, by contrast, requires the model to recognize tightly clustered file-system and process patterns, which favours a smaller, more focused vocabulary and a shorter context window. In our early design experiments, a single model trained jointly on both tasks struggled to attend simultaneously to both signal types without a substantial context-window penalty and a measurable drop in precision on the rarer ransomware class. Splitting the work into two specialists also lets us finetune each model on a smaller and more uniform training corpus, which in our experience converges faster and overfits less. </w:t>
      </w:r>
    </w:p>
    <w:p w14:paraId="02D8FC68" w14:textId="77777777" w:rsidR="00A76AD3" w:rsidRDefault="008275FF">
      <w:pPr>
        <w:spacing w:after="173"/>
        <w:ind w:left="-15" w:right="0" w:firstLine="200"/>
      </w:pPr>
      <w:r>
        <w:t>The two streams are decoupled at the model level but coupled at the alerting level</w:t>
      </w:r>
      <w:r>
        <w:t>. Each model emits a sequence of (technique, confidence) tuples on its own log windows; the classification module aligns these tuples on a shared timeline and fires a coordinated alert only when both streams report related techniques inside a configurable correlation window. This design ensures that uncorrelated false positives in either model do not amplify each other, while genuine multi-stage intrusions, in which lateral movement and ransomware staging overlap in time, surface as a single high-confidence</w:t>
      </w:r>
      <w:r>
        <w:t xml:space="preserve"> event. </w:t>
      </w:r>
    </w:p>
    <w:p w14:paraId="5957E36B" w14:textId="77777777" w:rsidR="00A76AD3" w:rsidRDefault="008275FF">
      <w:pPr>
        <w:spacing w:after="74" w:line="259" w:lineRule="auto"/>
        <w:ind w:right="34"/>
        <w:jc w:val="center"/>
      </w:pPr>
      <w:r>
        <w:rPr>
          <w:i/>
        </w:rPr>
        <w:t>B.  Log Semantic Analyzer (LSA) for Lateral Movement</w:t>
      </w:r>
      <w:r>
        <w:t xml:space="preserve"> </w:t>
      </w:r>
    </w:p>
    <w:p w14:paraId="1BBC5E36" w14:textId="77777777" w:rsidR="00A76AD3" w:rsidRDefault="008275FF">
      <w:pPr>
        <w:spacing w:after="130"/>
        <w:ind w:left="-5" w:right="0"/>
      </w:pPr>
      <w:r>
        <w:t>The LSA ingests four main event streams: Windows Security Event Logs (Event IDs 4624, 4625, 4648, and 4672), NetFlow records, Kerberos ticket-granting and ticket-using activity, and Active Directory replication metadata. Together, these streams capture the great majority of authenticationdriven lateral movement: 4624 records successful logons (including their logon type, source workstation, and authentication package); 4625 records failed logons; 4648 records explicit-credential logons that are characteri</w:t>
      </w:r>
      <w:r>
        <w:t xml:space="preserve">stic of Pass-the-Hash and runas usage; and 4672 records assignment of sensitive privileges. NetFlow contributes the inter-host network </w:t>
      </w:r>
      <w:r>
        <w:lastRenderedPageBreak/>
        <w:t xml:space="preserve">footprint, and Kerberos events reveal ticket-granting anomalies such as Golden Ticket and Silver Ticket activity. </w:t>
      </w:r>
    </w:p>
    <w:p w14:paraId="2476FC09" w14:textId="77777777" w:rsidR="00A76AD3" w:rsidRDefault="008275FF">
      <w:pPr>
        <w:pStyle w:val="Heading2"/>
        <w:ind w:left="195"/>
      </w:pPr>
      <w:r>
        <w:t>1)  Domain-specific tokenizer</w:t>
      </w:r>
      <w:r>
        <w:rPr>
          <w:i w:val="0"/>
        </w:rPr>
        <w:t xml:space="preserve"> </w:t>
      </w:r>
    </w:p>
    <w:p w14:paraId="03AFA483" w14:textId="77777777" w:rsidR="00A76AD3" w:rsidRDefault="008275FF">
      <w:pPr>
        <w:spacing w:after="131"/>
        <w:ind w:left="-5" w:right="0"/>
      </w:pPr>
      <w:r>
        <w:t>A custom tokenizer, trained alongside the SLM on SecKnowledge 2.0 [7], turns these heterogeneous formats into a single token sequence. We deliberately chose a domainspecific tokenizer over a general-purpose Byte-Pair Encoding (BPE) vocabulary because security logs are dominated by fixed-format fields—Security Identifiers (SIDs), Globally Unique Identifiers (GUIDs), hex-encoded NTLM hashes, IPv4 addresses, and timestamps—that a generic tokenizer would fragment for no semantic reason. In our design, each of</w:t>
      </w:r>
      <w:r>
        <w:t xml:space="preserve"> these field types is mapped to a small number of dedicated tokens that preserve both the structural meaning of the field and its value-level identity, so that two log lines mentioning the same SID share an exact token, while two structurally different SIDs are distinguished. This reduces sequence length by an estimated 35–45% relative to a generic BPE tokenizer while improving the model's ability to track identities across events. </w:t>
      </w:r>
    </w:p>
    <w:p w14:paraId="0446F4C2" w14:textId="77777777" w:rsidR="00A76AD3" w:rsidRDefault="008275FF">
      <w:pPr>
        <w:pStyle w:val="Heading2"/>
        <w:ind w:left="195"/>
      </w:pPr>
      <w:r>
        <w:t>2)  Two-phase fine-tuning</w:t>
      </w:r>
      <w:r>
        <w:rPr>
          <w:i w:val="0"/>
        </w:rPr>
        <w:t xml:space="preserve"> </w:t>
      </w:r>
    </w:p>
    <w:p w14:paraId="31286EAD" w14:textId="77777777" w:rsidR="00A76AD3" w:rsidRDefault="008275FF">
      <w:pPr>
        <w:spacing w:after="184"/>
        <w:ind w:left="-5" w:right="0"/>
      </w:pPr>
      <w:r>
        <w:t xml:space="preserve">We considered two candidates for the model backbone: Phi3 Mini (3.8B parameters) and Gemma-2 (2.6B). Recent benchmarks indicate that both perform well on size-versusaccuracy trade-offs for security tasks [6], [9], and we plan to compare them experimentally in our evaluation. Fine-tuning proceeds in two phases, illustrated in Fig. 2. </w:t>
      </w:r>
    </w:p>
    <w:p w14:paraId="772A9F29" w14:textId="77777777" w:rsidR="00A76AD3" w:rsidRDefault="008275FF">
      <w:pPr>
        <w:spacing w:after="0" w:line="259" w:lineRule="auto"/>
        <w:ind w:left="0" w:right="718" w:firstLine="0"/>
        <w:jc w:val="right"/>
      </w:pPr>
      <w:r>
        <w:rPr>
          <w:noProof/>
        </w:rPr>
        <w:drawing>
          <wp:inline distT="0" distB="0" distL="0" distR="0" wp14:anchorId="5EE947FE" wp14:editId="367BB7A9">
            <wp:extent cx="2190750" cy="1276350"/>
            <wp:effectExtent l="0" t="0" r="0" b="0"/>
            <wp:docPr id="1448" name="Picture 1448"/>
            <wp:cNvGraphicFramePr/>
            <a:graphic xmlns:a="http://schemas.openxmlformats.org/drawingml/2006/main">
              <a:graphicData uri="http://schemas.openxmlformats.org/drawingml/2006/picture">
                <pic:pic xmlns:pic="http://schemas.openxmlformats.org/drawingml/2006/picture">
                  <pic:nvPicPr>
                    <pic:cNvPr id="1448" name="Picture 1448"/>
                    <pic:cNvPicPr/>
                  </pic:nvPicPr>
                  <pic:blipFill>
                    <a:blip r:embed="rId6"/>
                    <a:stretch>
                      <a:fillRect/>
                    </a:stretch>
                  </pic:blipFill>
                  <pic:spPr>
                    <a:xfrm>
                      <a:off x="0" y="0"/>
                      <a:ext cx="2190750" cy="1276350"/>
                    </a:xfrm>
                    <a:prstGeom prst="rect">
                      <a:avLst/>
                    </a:prstGeom>
                  </pic:spPr>
                </pic:pic>
              </a:graphicData>
            </a:graphic>
          </wp:inline>
        </w:drawing>
      </w:r>
      <w:r>
        <w:t xml:space="preserve"> </w:t>
      </w:r>
    </w:p>
    <w:p w14:paraId="3928F091" w14:textId="77777777" w:rsidR="00A76AD3" w:rsidRDefault="008275FF">
      <w:pPr>
        <w:spacing w:after="125" w:line="231" w:lineRule="auto"/>
        <w:ind w:left="1867" w:right="0" w:hanging="1535"/>
      </w:pPr>
      <w:r>
        <w:rPr>
          <w:sz w:val="16"/>
        </w:rPr>
        <w:t>Fig. 2.  Three-phase fine-tuning and deployment pipeline for each EdgeShield SLM.</w:t>
      </w:r>
      <w:r>
        <w:t xml:space="preserve"> </w:t>
      </w:r>
    </w:p>
    <w:p w14:paraId="72A1AA23" w14:textId="77777777" w:rsidR="00A76AD3" w:rsidRDefault="008275FF">
      <w:pPr>
        <w:spacing w:after="187"/>
        <w:ind w:left="-15" w:right="0" w:firstLine="200"/>
      </w:pPr>
      <w:r>
        <w:t>In phase one, labelled lateral-movement samples are used for supervised cross-entropy training over ATT&amp;CK technique IDs. The most heavily represented IDs are T1021 (Remote Services), T1550 (Use of Alternate Authentication Mate</w:t>
      </w:r>
      <w:r>
        <w:t>rial), and T1570 (Lateral Tool Transfer), with their respective sub-techniques contributing the fine-grained labels. We use Low-Rank Adaptation (LoRA) with rank 16 and scaling factor 32, train for three epochs at a learning rate of 2 × 10⁻⁵ with batch size 16, and use early stopping on a held-out validation split derived from the DARPA OpTC and LANL datasets. In phase two, a contrastive InfoNCE-style objective with temperature 0.07 and in-batch negatives is added; positive pairs are constructed from window-</w:t>
      </w:r>
      <w:r>
        <w:t xml:space="preserve">level augmentations of the same attack trace, and negative pairs are drawn from benign administrative sequences (sysadmin RDP-ing into a server during a maintenance window, scheduled batch jobs, vulnerability scans). The contrastive phase explicitly separates the embeddings of harmless administrative activity from genuine lateral-movement sequences, which in our pilot experiments was the single most effective lever for reducing false-positive rates. </w:t>
      </w:r>
    </w:p>
    <w:p w14:paraId="3F08FB26" w14:textId="77777777" w:rsidR="00A76AD3" w:rsidRDefault="008275FF">
      <w:pPr>
        <w:spacing w:after="0" w:line="259" w:lineRule="auto"/>
        <w:ind w:right="52"/>
        <w:jc w:val="center"/>
      </w:pPr>
      <w:r>
        <w:rPr>
          <w:sz w:val="16"/>
        </w:rPr>
        <w:t>TABLE III.   LSA</w:t>
      </w:r>
      <w:r>
        <w:rPr>
          <w:sz w:val="13"/>
        </w:rPr>
        <w:t xml:space="preserve"> AND </w:t>
      </w:r>
      <w:r>
        <w:rPr>
          <w:sz w:val="16"/>
        </w:rPr>
        <w:t>BPD</w:t>
      </w:r>
      <w:r>
        <w:rPr>
          <w:sz w:val="13"/>
        </w:rPr>
        <w:t xml:space="preserve"> </w:t>
      </w:r>
      <w:r>
        <w:rPr>
          <w:sz w:val="16"/>
        </w:rPr>
        <w:t>F</w:t>
      </w:r>
      <w:r>
        <w:rPr>
          <w:sz w:val="13"/>
        </w:rPr>
        <w:t>INE</w:t>
      </w:r>
      <w:r>
        <w:rPr>
          <w:sz w:val="16"/>
        </w:rPr>
        <w:t>-T</w:t>
      </w:r>
      <w:r>
        <w:rPr>
          <w:sz w:val="13"/>
        </w:rPr>
        <w:t xml:space="preserve">UNING </w:t>
      </w:r>
      <w:r>
        <w:rPr>
          <w:sz w:val="16"/>
        </w:rPr>
        <w:t>H</w:t>
      </w:r>
      <w:r>
        <w:rPr>
          <w:sz w:val="13"/>
        </w:rPr>
        <w:t>YPERPARAMETERS</w:t>
      </w:r>
      <w:r>
        <w:t xml:space="preserve"> </w:t>
      </w:r>
    </w:p>
    <w:tbl>
      <w:tblPr>
        <w:tblStyle w:val="TableGrid"/>
        <w:tblW w:w="4099" w:type="dxa"/>
        <w:tblInd w:w="389" w:type="dxa"/>
        <w:tblCellMar>
          <w:top w:w="67" w:type="dxa"/>
          <w:left w:w="82" w:type="dxa"/>
          <w:bottom w:w="0" w:type="dxa"/>
          <w:right w:w="52" w:type="dxa"/>
        </w:tblCellMar>
        <w:tblLook w:val="04A0" w:firstRow="1" w:lastRow="0" w:firstColumn="1" w:lastColumn="0" w:noHBand="0" w:noVBand="1"/>
      </w:tblPr>
      <w:tblGrid>
        <w:gridCol w:w="1502"/>
        <w:gridCol w:w="1296"/>
        <w:gridCol w:w="1301"/>
      </w:tblGrid>
      <w:tr w:rsidR="00A76AD3" w14:paraId="5924748C" w14:textId="77777777">
        <w:trPr>
          <w:trHeight w:val="317"/>
        </w:trPr>
        <w:tc>
          <w:tcPr>
            <w:tcW w:w="1502" w:type="dxa"/>
            <w:tcBorders>
              <w:top w:val="single" w:sz="4" w:space="0" w:color="000000"/>
              <w:left w:val="single" w:sz="4" w:space="0" w:color="000000"/>
              <w:bottom w:val="single" w:sz="4" w:space="0" w:color="000000"/>
              <w:right w:val="single" w:sz="4" w:space="0" w:color="000000"/>
            </w:tcBorders>
          </w:tcPr>
          <w:p w14:paraId="5697B326" w14:textId="77777777" w:rsidR="00A76AD3" w:rsidRDefault="008275FF">
            <w:pPr>
              <w:spacing w:after="0" w:line="259" w:lineRule="auto"/>
              <w:ind w:left="0" w:right="29" w:firstLine="0"/>
              <w:jc w:val="center"/>
            </w:pPr>
            <w:r>
              <w:rPr>
                <w:b/>
                <w:sz w:val="16"/>
              </w:rPr>
              <w:t>Hyp</w:t>
            </w:r>
            <w:r>
              <w:rPr>
                <w:b/>
                <w:sz w:val="16"/>
              </w:rPr>
              <w:t>erparameter</w:t>
            </w:r>
            <w: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14C0AA8C" w14:textId="77777777" w:rsidR="00A76AD3" w:rsidRDefault="008275FF">
            <w:pPr>
              <w:spacing w:after="0" w:line="259" w:lineRule="auto"/>
              <w:ind w:left="0" w:right="33" w:firstLine="0"/>
              <w:jc w:val="center"/>
            </w:pPr>
            <w:r>
              <w:rPr>
                <w:b/>
                <w:sz w:val="16"/>
              </w:rPr>
              <w:t>LSA</w:t>
            </w:r>
            <w: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3E5B8C5C" w14:textId="77777777" w:rsidR="00A76AD3" w:rsidRDefault="008275FF">
            <w:pPr>
              <w:spacing w:after="0" w:line="259" w:lineRule="auto"/>
              <w:ind w:left="0" w:right="28" w:firstLine="0"/>
              <w:jc w:val="center"/>
            </w:pPr>
            <w:r>
              <w:rPr>
                <w:b/>
                <w:sz w:val="16"/>
              </w:rPr>
              <w:t>BPD</w:t>
            </w:r>
            <w:r>
              <w:t xml:space="preserve"> </w:t>
            </w:r>
          </w:p>
        </w:tc>
      </w:tr>
      <w:tr w:rsidR="00A76AD3" w14:paraId="345BDBB5" w14:textId="77777777">
        <w:trPr>
          <w:trHeight w:val="499"/>
        </w:trPr>
        <w:tc>
          <w:tcPr>
            <w:tcW w:w="1502" w:type="dxa"/>
            <w:tcBorders>
              <w:top w:val="single" w:sz="4" w:space="0" w:color="000000"/>
              <w:left w:val="single" w:sz="4" w:space="0" w:color="000000"/>
              <w:bottom w:val="single" w:sz="4" w:space="0" w:color="000000"/>
              <w:right w:val="single" w:sz="4" w:space="0" w:color="000000"/>
            </w:tcBorders>
          </w:tcPr>
          <w:p w14:paraId="6697F181" w14:textId="77777777" w:rsidR="00A76AD3" w:rsidRDefault="008275FF">
            <w:pPr>
              <w:spacing w:after="0" w:line="259" w:lineRule="auto"/>
              <w:ind w:left="0" w:right="0" w:firstLine="0"/>
              <w:jc w:val="left"/>
            </w:pPr>
            <w:r>
              <w:rPr>
                <w:sz w:val="16"/>
              </w:rPr>
              <w:t>Backbone</w:t>
            </w:r>
            <w: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6E18C91D" w14:textId="77777777" w:rsidR="00A76AD3" w:rsidRDefault="008275FF">
            <w:pPr>
              <w:spacing w:after="0" w:line="259" w:lineRule="auto"/>
              <w:ind w:right="2" w:firstLine="0"/>
              <w:jc w:val="center"/>
            </w:pPr>
            <w:r>
              <w:rPr>
                <w:sz w:val="16"/>
              </w:rPr>
              <w:t>Phi-3 Mini (3.8B)</w:t>
            </w:r>
            <w: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47E842EA" w14:textId="77777777" w:rsidR="00A76AD3" w:rsidRDefault="008275FF">
            <w:pPr>
              <w:spacing w:after="0" w:line="259" w:lineRule="auto"/>
              <w:ind w:left="23" w:right="0" w:firstLine="0"/>
              <w:jc w:val="left"/>
            </w:pPr>
            <w:r>
              <w:rPr>
                <w:sz w:val="16"/>
              </w:rPr>
              <w:t>Gemma-2 (2.6B)</w:t>
            </w:r>
            <w:r>
              <w:t xml:space="preserve"> </w:t>
            </w:r>
          </w:p>
        </w:tc>
      </w:tr>
      <w:tr w:rsidR="00A76AD3" w14:paraId="0F66CFD8" w14:textId="77777777">
        <w:trPr>
          <w:trHeight w:val="312"/>
        </w:trPr>
        <w:tc>
          <w:tcPr>
            <w:tcW w:w="1502" w:type="dxa"/>
            <w:tcBorders>
              <w:top w:val="single" w:sz="4" w:space="0" w:color="000000"/>
              <w:left w:val="single" w:sz="4" w:space="0" w:color="000000"/>
              <w:bottom w:val="single" w:sz="4" w:space="0" w:color="000000"/>
              <w:right w:val="single" w:sz="4" w:space="0" w:color="000000"/>
            </w:tcBorders>
          </w:tcPr>
          <w:p w14:paraId="43087A48" w14:textId="77777777" w:rsidR="00A76AD3" w:rsidRDefault="008275FF">
            <w:pPr>
              <w:spacing w:after="0" w:line="259" w:lineRule="auto"/>
              <w:ind w:left="0" w:right="0" w:firstLine="0"/>
              <w:jc w:val="left"/>
            </w:pPr>
            <w:r>
              <w:rPr>
                <w:sz w:val="16"/>
              </w:rPr>
              <w:t>Context length</w:t>
            </w:r>
            <w: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3747F998" w14:textId="77777777" w:rsidR="00A76AD3" w:rsidRDefault="008275FF">
            <w:pPr>
              <w:spacing w:after="0" w:line="259" w:lineRule="auto"/>
              <w:ind w:left="0" w:right="32" w:firstLine="0"/>
              <w:jc w:val="center"/>
            </w:pPr>
            <w:r>
              <w:rPr>
                <w:sz w:val="16"/>
              </w:rPr>
              <w:t>512 tokens</w:t>
            </w:r>
            <w: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5F3F0319" w14:textId="77777777" w:rsidR="00A76AD3" w:rsidRDefault="008275FF">
            <w:pPr>
              <w:spacing w:after="0" w:line="259" w:lineRule="auto"/>
              <w:ind w:left="0" w:right="28" w:firstLine="0"/>
              <w:jc w:val="center"/>
            </w:pPr>
            <w:r>
              <w:rPr>
                <w:sz w:val="16"/>
              </w:rPr>
              <w:t>256 tokens</w:t>
            </w:r>
            <w:r>
              <w:t xml:space="preserve"> </w:t>
            </w:r>
          </w:p>
        </w:tc>
      </w:tr>
      <w:tr w:rsidR="00A76AD3" w14:paraId="1F1B256F" w14:textId="77777777">
        <w:trPr>
          <w:trHeight w:val="499"/>
        </w:trPr>
        <w:tc>
          <w:tcPr>
            <w:tcW w:w="1502" w:type="dxa"/>
            <w:tcBorders>
              <w:top w:val="single" w:sz="4" w:space="0" w:color="000000"/>
              <w:left w:val="single" w:sz="4" w:space="0" w:color="000000"/>
              <w:bottom w:val="single" w:sz="4" w:space="0" w:color="000000"/>
              <w:right w:val="single" w:sz="4" w:space="0" w:color="000000"/>
            </w:tcBorders>
          </w:tcPr>
          <w:p w14:paraId="76404B4F" w14:textId="77777777" w:rsidR="00A76AD3" w:rsidRDefault="008275FF">
            <w:pPr>
              <w:spacing w:after="0" w:line="259" w:lineRule="auto"/>
              <w:ind w:left="0" w:right="0" w:firstLine="0"/>
              <w:jc w:val="left"/>
            </w:pPr>
            <w:r>
              <w:rPr>
                <w:sz w:val="16"/>
              </w:rPr>
              <w:t>Vocabulary size</w:t>
            </w:r>
            <w: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1B961E99" w14:textId="77777777" w:rsidR="00A76AD3" w:rsidRDefault="008275FF">
            <w:pPr>
              <w:spacing w:after="0" w:line="259" w:lineRule="auto"/>
              <w:ind w:left="0" w:right="0" w:firstLine="0"/>
              <w:jc w:val="center"/>
            </w:pPr>
            <w:r>
              <w:rPr>
                <w:sz w:val="16"/>
              </w:rPr>
              <w:t>~32k (domain BPE)</w:t>
            </w:r>
            <w: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692081A9" w14:textId="77777777" w:rsidR="00A76AD3" w:rsidRDefault="008275FF">
            <w:pPr>
              <w:spacing w:after="0" w:line="259" w:lineRule="auto"/>
              <w:ind w:left="45" w:right="0" w:firstLine="0"/>
              <w:jc w:val="left"/>
            </w:pPr>
            <w:r>
              <w:rPr>
                <w:sz w:val="16"/>
              </w:rPr>
              <w:t>~2k (ATT&amp;CK)</w:t>
            </w:r>
            <w:r>
              <w:t xml:space="preserve"> </w:t>
            </w:r>
          </w:p>
        </w:tc>
      </w:tr>
      <w:tr w:rsidR="00A76AD3" w14:paraId="521730A0" w14:textId="77777777">
        <w:tblPrEx>
          <w:tblCellMar>
            <w:top w:w="61" w:type="dxa"/>
            <w:right w:w="64" w:type="dxa"/>
          </w:tblCellMar>
        </w:tblPrEx>
        <w:trPr>
          <w:trHeight w:val="312"/>
        </w:trPr>
        <w:tc>
          <w:tcPr>
            <w:tcW w:w="1502" w:type="dxa"/>
            <w:tcBorders>
              <w:top w:val="single" w:sz="4" w:space="0" w:color="000000"/>
              <w:left w:val="single" w:sz="4" w:space="0" w:color="000000"/>
              <w:bottom w:val="single" w:sz="4" w:space="0" w:color="000000"/>
              <w:right w:val="single" w:sz="4" w:space="0" w:color="000000"/>
            </w:tcBorders>
          </w:tcPr>
          <w:p w14:paraId="6F77E285" w14:textId="77777777" w:rsidR="00A76AD3" w:rsidRDefault="008275FF">
            <w:pPr>
              <w:spacing w:after="0" w:line="259" w:lineRule="auto"/>
              <w:ind w:left="0" w:right="17" w:firstLine="0"/>
              <w:jc w:val="center"/>
            </w:pPr>
            <w:r>
              <w:rPr>
                <w:b/>
                <w:sz w:val="16"/>
              </w:rPr>
              <w:t>Hyperparameter</w:t>
            </w:r>
            <w: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653A084B" w14:textId="77777777" w:rsidR="00A76AD3" w:rsidRDefault="008275FF">
            <w:pPr>
              <w:spacing w:after="0" w:line="259" w:lineRule="auto"/>
              <w:ind w:left="0" w:right="21" w:firstLine="0"/>
              <w:jc w:val="center"/>
            </w:pPr>
            <w:r>
              <w:rPr>
                <w:b/>
                <w:sz w:val="16"/>
              </w:rPr>
              <w:t>LSA</w:t>
            </w:r>
            <w: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7E5D085F" w14:textId="77777777" w:rsidR="00A76AD3" w:rsidRDefault="008275FF">
            <w:pPr>
              <w:spacing w:after="0" w:line="259" w:lineRule="auto"/>
              <w:ind w:left="0" w:right="16" w:firstLine="0"/>
              <w:jc w:val="center"/>
            </w:pPr>
            <w:r>
              <w:rPr>
                <w:b/>
                <w:sz w:val="16"/>
              </w:rPr>
              <w:t>BPD</w:t>
            </w:r>
            <w:r>
              <w:t xml:space="preserve"> </w:t>
            </w:r>
          </w:p>
        </w:tc>
      </w:tr>
      <w:tr w:rsidR="00A76AD3" w14:paraId="33DD4D2D" w14:textId="77777777">
        <w:tblPrEx>
          <w:tblCellMar>
            <w:top w:w="61" w:type="dxa"/>
            <w:right w:w="64" w:type="dxa"/>
          </w:tblCellMar>
        </w:tblPrEx>
        <w:trPr>
          <w:trHeight w:val="312"/>
        </w:trPr>
        <w:tc>
          <w:tcPr>
            <w:tcW w:w="1502" w:type="dxa"/>
            <w:tcBorders>
              <w:top w:val="single" w:sz="4" w:space="0" w:color="000000"/>
              <w:left w:val="single" w:sz="4" w:space="0" w:color="000000"/>
              <w:bottom w:val="single" w:sz="4" w:space="0" w:color="000000"/>
              <w:right w:val="single" w:sz="4" w:space="0" w:color="000000"/>
            </w:tcBorders>
          </w:tcPr>
          <w:p w14:paraId="5EB15DBD" w14:textId="77777777" w:rsidR="00A76AD3" w:rsidRDefault="008275FF">
            <w:pPr>
              <w:spacing w:after="0" w:line="259" w:lineRule="auto"/>
              <w:ind w:left="0" w:right="0" w:firstLine="0"/>
              <w:jc w:val="left"/>
            </w:pPr>
            <w:r>
              <w:rPr>
                <w:sz w:val="16"/>
              </w:rPr>
              <w:t>LoRA rank / α</w:t>
            </w:r>
            <w: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5565FFEA" w14:textId="77777777" w:rsidR="00A76AD3" w:rsidRDefault="008275FF">
            <w:pPr>
              <w:spacing w:after="0" w:line="259" w:lineRule="auto"/>
              <w:ind w:left="0" w:right="21" w:firstLine="0"/>
              <w:jc w:val="center"/>
            </w:pPr>
            <w:r>
              <w:rPr>
                <w:sz w:val="16"/>
              </w:rPr>
              <w:t>16 / 32</w:t>
            </w:r>
            <w: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45178F32" w14:textId="77777777" w:rsidR="00A76AD3" w:rsidRDefault="008275FF">
            <w:pPr>
              <w:spacing w:after="0" w:line="259" w:lineRule="auto"/>
              <w:ind w:left="0" w:right="16" w:firstLine="0"/>
              <w:jc w:val="center"/>
            </w:pPr>
            <w:r>
              <w:rPr>
                <w:sz w:val="16"/>
              </w:rPr>
              <w:t>8 / 16</w:t>
            </w:r>
            <w:r>
              <w:t xml:space="preserve"> </w:t>
            </w:r>
          </w:p>
        </w:tc>
      </w:tr>
      <w:tr w:rsidR="00A76AD3" w14:paraId="3A045737" w14:textId="77777777">
        <w:tblPrEx>
          <w:tblCellMar>
            <w:top w:w="61" w:type="dxa"/>
            <w:right w:w="64" w:type="dxa"/>
          </w:tblCellMar>
        </w:tblPrEx>
        <w:trPr>
          <w:trHeight w:val="317"/>
        </w:trPr>
        <w:tc>
          <w:tcPr>
            <w:tcW w:w="1502" w:type="dxa"/>
            <w:tcBorders>
              <w:top w:val="single" w:sz="4" w:space="0" w:color="000000"/>
              <w:left w:val="single" w:sz="4" w:space="0" w:color="000000"/>
              <w:bottom w:val="single" w:sz="4" w:space="0" w:color="000000"/>
              <w:right w:val="single" w:sz="4" w:space="0" w:color="000000"/>
            </w:tcBorders>
          </w:tcPr>
          <w:p w14:paraId="4BE69349" w14:textId="77777777" w:rsidR="00A76AD3" w:rsidRDefault="008275FF">
            <w:pPr>
              <w:spacing w:after="0" w:line="259" w:lineRule="auto"/>
              <w:ind w:left="0" w:right="0" w:firstLine="0"/>
              <w:jc w:val="left"/>
            </w:pPr>
            <w:r>
              <w:rPr>
                <w:sz w:val="16"/>
              </w:rPr>
              <w:t>Learning rate</w:t>
            </w:r>
            <w: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67AD2C7C" w14:textId="77777777" w:rsidR="00A76AD3" w:rsidRDefault="008275FF">
            <w:pPr>
              <w:spacing w:after="0" w:line="259" w:lineRule="auto"/>
              <w:ind w:left="0" w:right="20" w:firstLine="0"/>
              <w:jc w:val="center"/>
            </w:pPr>
            <w:r>
              <w:rPr>
                <w:sz w:val="16"/>
              </w:rPr>
              <w:t>2 × 10⁻⁵</w:t>
            </w:r>
            <w: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7990907F" w14:textId="77777777" w:rsidR="00A76AD3" w:rsidRDefault="008275FF">
            <w:pPr>
              <w:spacing w:after="0" w:line="259" w:lineRule="auto"/>
              <w:ind w:left="0" w:right="16" w:firstLine="0"/>
              <w:jc w:val="center"/>
            </w:pPr>
            <w:r>
              <w:rPr>
                <w:sz w:val="16"/>
              </w:rPr>
              <w:t>3 × 10⁻⁵</w:t>
            </w:r>
            <w:r>
              <w:t xml:space="preserve"> </w:t>
            </w:r>
          </w:p>
        </w:tc>
      </w:tr>
      <w:tr w:rsidR="00A76AD3" w14:paraId="385ED031" w14:textId="77777777">
        <w:tblPrEx>
          <w:tblCellMar>
            <w:top w:w="61" w:type="dxa"/>
            <w:right w:w="64" w:type="dxa"/>
          </w:tblCellMar>
        </w:tblPrEx>
        <w:trPr>
          <w:trHeight w:val="312"/>
        </w:trPr>
        <w:tc>
          <w:tcPr>
            <w:tcW w:w="1502" w:type="dxa"/>
            <w:tcBorders>
              <w:top w:val="single" w:sz="4" w:space="0" w:color="000000"/>
              <w:left w:val="single" w:sz="4" w:space="0" w:color="000000"/>
              <w:bottom w:val="single" w:sz="4" w:space="0" w:color="000000"/>
              <w:right w:val="single" w:sz="4" w:space="0" w:color="000000"/>
            </w:tcBorders>
          </w:tcPr>
          <w:p w14:paraId="5392B537" w14:textId="77777777" w:rsidR="00A76AD3" w:rsidRDefault="008275FF">
            <w:pPr>
              <w:spacing w:after="0" w:line="259" w:lineRule="auto"/>
              <w:ind w:left="0" w:right="0" w:firstLine="0"/>
              <w:jc w:val="left"/>
            </w:pPr>
            <w:r>
              <w:rPr>
                <w:sz w:val="16"/>
              </w:rPr>
              <w:t>Batch size</w:t>
            </w:r>
            <w: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3E3EEFD3" w14:textId="77777777" w:rsidR="00A76AD3" w:rsidRDefault="008275FF">
            <w:pPr>
              <w:spacing w:after="0" w:line="259" w:lineRule="auto"/>
              <w:ind w:left="0" w:right="21" w:firstLine="0"/>
              <w:jc w:val="center"/>
            </w:pPr>
            <w:r>
              <w:rPr>
                <w:sz w:val="16"/>
              </w:rPr>
              <w:t>16</w:t>
            </w:r>
            <w: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0F833A43" w14:textId="77777777" w:rsidR="00A76AD3" w:rsidRDefault="008275FF">
            <w:pPr>
              <w:spacing w:after="0" w:line="259" w:lineRule="auto"/>
              <w:ind w:left="0" w:right="16" w:firstLine="0"/>
              <w:jc w:val="center"/>
            </w:pPr>
            <w:r>
              <w:rPr>
                <w:sz w:val="16"/>
              </w:rPr>
              <w:t>32</w:t>
            </w:r>
            <w:r>
              <w:t xml:space="preserve"> </w:t>
            </w:r>
          </w:p>
        </w:tc>
      </w:tr>
      <w:tr w:rsidR="00A76AD3" w14:paraId="671D442B" w14:textId="77777777">
        <w:tblPrEx>
          <w:tblCellMar>
            <w:top w:w="61" w:type="dxa"/>
            <w:right w:w="64" w:type="dxa"/>
          </w:tblCellMar>
        </w:tblPrEx>
        <w:trPr>
          <w:trHeight w:val="317"/>
        </w:trPr>
        <w:tc>
          <w:tcPr>
            <w:tcW w:w="1502" w:type="dxa"/>
            <w:tcBorders>
              <w:top w:val="single" w:sz="4" w:space="0" w:color="000000"/>
              <w:left w:val="single" w:sz="4" w:space="0" w:color="000000"/>
              <w:bottom w:val="single" w:sz="4" w:space="0" w:color="000000"/>
              <w:right w:val="single" w:sz="4" w:space="0" w:color="000000"/>
            </w:tcBorders>
          </w:tcPr>
          <w:p w14:paraId="2865B5F4" w14:textId="77777777" w:rsidR="00A76AD3" w:rsidRDefault="008275FF">
            <w:pPr>
              <w:spacing w:after="0" w:line="259" w:lineRule="auto"/>
              <w:ind w:left="0" w:right="0" w:firstLine="0"/>
              <w:jc w:val="left"/>
            </w:pPr>
            <w:r>
              <w:rPr>
                <w:sz w:val="16"/>
              </w:rPr>
              <w:t>Epochs (phase 1 / 2)</w:t>
            </w:r>
            <w: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6102166C" w14:textId="77777777" w:rsidR="00A76AD3" w:rsidRDefault="008275FF">
            <w:pPr>
              <w:spacing w:after="0" w:line="259" w:lineRule="auto"/>
              <w:ind w:left="0" w:right="21" w:firstLine="0"/>
              <w:jc w:val="center"/>
            </w:pPr>
            <w:r>
              <w:rPr>
                <w:sz w:val="16"/>
              </w:rPr>
              <w:t>3 / 2</w:t>
            </w:r>
            <w: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282323B3" w14:textId="77777777" w:rsidR="00A76AD3" w:rsidRDefault="008275FF">
            <w:pPr>
              <w:spacing w:after="0" w:line="259" w:lineRule="auto"/>
              <w:ind w:left="0" w:right="16" w:firstLine="0"/>
              <w:jc w:val="center"/>
            </w:pPr>
            <w:r>
              <w:rPr>
                <w:sz w:val="16"/>
              </w:rPr>
              <w:t>4 / 2</w:t>
            </w:r>
            <w:r>
              <w:t xml:space="preserve"> </w:t>
            </w:r>
          </w:p>
        </w:tc>
      </w:tr>
      <w:tr w:rsidR="00A76AD3" w14:paraId="697D4BDA" w14:textId="77777777">
        <w:tblPrEx>
          <w:tblCellMar>
            <w:top w:w="61" w:type="dxa"/>
            <w:right w:w="64" w:type="dxa"/>
          </w:tblCellMar>
        </w:tblPrEx>
        <w:trPr>
          <w:trHeight w:val="494"/>
        </w:trPr>
        <w:tc>
          <w:tcPr>
            <w:tcW w:w="1502" w:type="dxa"/>
            <w:tcBorders>
              <w:top w:val="single" w:sz="4" w:space="0" w:color="000000"/>
              <w:left w:val="single" w:sz="4" w:space="0" w:color="000000"/>
              <w:bottom w:val="single" w:sz="4" w:space="0" w:color="000000"/>
              <w:right w:val="single" w:sz="4" w:space="0" w:color="000000"/>
            </w:tcBorders>
          </w:tcPr>
          <w:p w14:paraId="68CD2406" w14:textId="77777777" w:rsidR="00A76AD3" w:rsidRDefault="008275FF">
            <w:pPr>
              <w:spacing w:after="0" w:line="259" w:lineRule="auto"/>
              <w:ind w:left="0" w:right="0" w:firstLine="0"/>
              <w:jc w:val="left"/>
            </w:pPr>
            <w:r>
              <w:rPr>
                <w:sz w:val="16"/>
              </w:rPr>
              <w:t>Contrastive temperature</w:t>
            </w:r>
            <w: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20EBE46E" w14:textId="77777777" w:rsidR="00A76AD3" w:rsidRDefault="008275FF">
            <w:pPr>
              <w:spacing w:after="0" w:line="259" w:lineRule="auto"/>
              <w:ind w:left="0" w:right="21" w:firstLine="0"/>
              <w:jc w:val="center"/>
            </w:pPr>
            <w:r>
              <w:rPr>
                <w:sz w:val="16"/>
              </w:rPr>
              <w:t>0.07</w:t>
            </w:r>
            <w: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14A7192B" w14:textId="77777777" w:rsidR="00A76AD3" w:rsidRDefault="008275FF">
            <w:pPr>
              <w:spacing w:after="0" w:line="259" w:lineRule="auto"/>
              <w:ind w:left="0" w:right="16" w:firstLine="0"/>
              <w:jc w:val="center"/>
            </w:pPr>
            <w:r>
              <w:rPr>
                <w:sz w:val="16"/>
              </w:rPr>
              <w:t>0.10</w:t>
            </w:r>
            <w:r>
              <w:t xml:space="preserve"> </w:t>
            </w:r>
          </w:p>
        </w:tc>
      </w:tr>
      <w:tr w:rsidR="00A76AD3" w14:paraId="6C782E8F" w14:textId="77777777">
        <w:tblPrEx>
          <w:tblCellMar>
            <w:top w:w="61" w:type="dxa"/>
            <w:right w:w="64" w:type="dxa"/>
          </w:tblCellMar>
        </w:tblPrEx>
        <w:trPr>
          <w:trHeight w:val="317"/>
        </w:trPr>
        <w:tc>
          <w:tcPr>
            <w:tcW w:w="1502" w:type="dxa"/>
            <w:tcBorders>
              <w:top w:val="single" w:sz="4" w:space="0" w:color="000000"/>
              <w:left w:val="single" w:sz="4" w:space="0" w:color="000000"/>
              <w:bottom w:val="single" w:sz="4" w:space="0" w:color="000000"/>
              <w:right w:val="single" w:sz="4" w:space="0" w:color="000000"/>
            </w:tcBorders>
          </w:tcPr>
          <w:p w14:paraId="06D3E41C" w14:textId="77777777" w:rsidR="00A76AD3" w:rsidRDefault="008275FF">
            <w:pPr>
              <w:spacing w:after="0" w:line="259" w:lineRule="auto"/>
              <w:ind w:left="0" w:right="0" w:firstLine="0"/>
              <w:jc w:val="left"/>
            </w:pPr>
            <w:r>
              <w:rPr>
                <w:sz w:val="16"/>
              </w:rPr>
              <w:t>Quantization</w:t>
            </w:r>
            <w: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09E2A798" w14:textId="77777777" w:rsidR="00A76AD3" w:rsidRDefault="008275FF">
            <w:pPr>
              <w:spacing w:after="0" w:line="259" w:lineRule="auto"/>
              <w:ind w:left="0" w:right="21" w:firstLine="0"/>
              <w:jc w:val="center"/>
            </w:pPr>
            <w:r>
              <w:rPr>
                <w:sz w:val="16"/>
              </w:rPr>
              <w:t>INT8 PTQ</w:t>
            </w:r>
            <w: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57442625" w14:textId="77777777" w:rsidR="00A76AD3" w:rsidRDefault="008275FF">
            <w:pPr>
              <w:spacing w:after="0" w:line="259" w:lineRule="auto"/>
              <w:ind w:left="0" w:right="16" w:firstLine="0"/>
              <w:jc w:val="center"/>
            </w:pPr>
            <w:r>
              <w:rPr>
                <w:sz w:val="16"/>
              </w:rPr>
              <w:t>INT8 PTQ</w:t>
            </w:r>
            <w:r>
              <w:t xml:space="preserve"> </w:t>
            </w:r>
          </w:p>
        </w:tc>
      </w:tr>
    </w:tbl>
    <w:p w14:paraId="599F0AF9" w14:textId="77777777" w:rsidR="00A76AD3" w:rsidRDefault="008275FF">
      <w:pPr>
        <w:spacing w:after="117" w:line="259" w:lineRule="auto"/>
        <w:ind w:left="0" w:right="0" w:firstLine="0"/>
        <w:jc w:val="left"/>
      </w:pPr>
      <w:r>
        <w:t xml:space="preserve"> </w:t>
      </w:r>
    </w:p>
    <w:p w14:paraId="4574E95E" w14:textId="77777777" w:rsidR="00A76AD3" w:rsidRDefault="008275FF">
      <w:pPr>
        <w:pStyle w:val="Heading2"/>
        <w:ind w:left="195"/>
      </w:pPr>
      <w:r>
        <w:t>3)  Inference and windowing</w:t>
      </w:r>
      <w:r>
        <w:rPr>
          <w:i w:val="0"/>
        </w:rPr>
        <w:t xml:space="preserve"> </w:t>
      </w:r>
    </w:p>
    <w:p w14:paraId="31299F1B" w14:textId="77777777" w:rsidR="00A76AD3" w:rsidRDefault="008275FF">
      <w:pPr>
        <w:spacing w:after="130"/>
        <w:ind w:left="-5" w:right="0"/>
      </w:pPr>
      <w:r>
        <w:t>At inference time, the LSA processes log chunks in a sliding window of 512 tokens with 64-token stride, and assigns each window a technique label and a confidence score. SOC analysts can use confidence thresholds to control the trade-off between precision and recall: a high threshold suppresses false positives at the cost of missed detections, while a low threshold is appropriate when the LSA's output is consumed by a downstream correlation engine that can tolerate noise. The temporal ordering of the wind</w:t>
      </w:r>
      <w:r>
        <w:t xml:space="preserve">ows helps to assemble multi-hop movement chains: when the LSA reports T1021.001 (RDP) on host A followed by T1550.002 (Passthe-Hash) on host B within a few minutes, the classification module can fuse the two into a single multi-host movement narrative. </w:t>
      </w:r>
    </w:p>
    <w:p w14:paraId="24C98E20" w14:textId="77777777" w:rsidR="00A76AD3" w:rsidRDefault="008275FF">
      <w:pPr>
        <w:pStyle w:val="Heading2"/>
        <w:ind w:left="195"/>
      </w:pPr>
      <w:r>
        <w:t>4)  Pseudocode</w:t>
      </w:r>
      <w:r>
        <w:rPr>
          <w:i w:val="0"/>
        </w:rPr>
        <w:t xml:space="preserve"> </w:t>
      </w:r>
    </w:p>
    <w:p w14:paraId="635E27C2" w14:textId="77777777" w:rsidR="00A76AD3" w:rsidRDefault="008275FF">
      <w:pPr>
        <w:spacing w:after="115"/>
        <w:ind w:left="-15" w:right="0" w:firstLine="200"/>
      </w:pPr>
      <w:r>
        <w:t xml:space="preserve">Algorithm 1 summarizes LSA inference over a stream of normalized log events. </w:t>
      </w:r>
    </w:p>
    <w:p w14:paraId="2E2817EB" w14:textId="77777777" w:rsidR="00A76AD3" w:rsidRDefault="008275FF">
      <w:pPr>
        <w:spacing w:after="6" w:line="259" w:lineRule="auto"/>
        <w:ind w:left="-5" w:right="0"/>
        <w:jc w:val="left"/>
      </w:pPr>
      <w:r>
        <w:rPr>
          <w:b/>
          <w:sz w:val="16"/>
        </w:rPr>
        <w:t>Algorithm 1: LSA Inference Loop</w:t>
      </w:r>
      <w:r>
        <w:t xml:space="preserve"> </w:t>
      </w:r>
    </w:p>
    <w:p w14:paraId="532A4F10" w14:textId="77777777" w:rsidR="00A76AD3" w:rsidRDefault="008275FF">
      <w:pPr>
        <w:spacing w:after="4"/>
        <w:ind w:left="195" w:right="697"/>
        <w:jc w:val="left"/>
      </w:pPr>
      <w:r>
        <w:rPr>
          <w:rFonts w:ascii="Courier New" w:eastAsia="Courier New" w:hAnsi="Courier New" w:cs="Courier New"/>
          <w:sz w:val="16"/>
        </w:rPr>
        <w:t>Input:  stream S of normalized log tokens</w:t>
      </w:r>
      <w:r>
        <w:t xml:space="preserve"> </w:t>
      </w:r>
      <w:r>
        <w:rPr>
          <w:rFonts w:ascii="Courier New" w:eastAsia="Courier New" w:hAnsi="Courier New" w:cs="Courier New"/>
          <w:sz w:val="16"/>
        </w:rPr>
        <w:t xml:space="preserve">        model M (fine-tuned LSA)</w:t>
      </w:r>
      <w:r>
        <w:t xml:space="preserve"> </w:t>
      </w:r>
      <w:r>
        <w:rPr>
          <w:rFonts w:ascii="Courier New" w:eastAsia="Courier New" w:hAnsi="Courier New" w:cs="Courier New"/>
          <w:sz w:val="16"/>
        </w:rPr>
        <w:t xml:space="preserve">        threshold tau</w:t>
      </w:r>
      <w:r>
        <w:t xml:space="preserve"> </w:t>
      </w:r>
    </w:p>
    <w:p w14:paraId="1927F799" w14:textId="77777777" w:rsidR="00A76AD3" w:rsidRDefault="008275FF">
      <w:pPr>
        <w:spacing w:after="4"/>
        <w:ind w:left="195" w:right="0"/>
        <w:jc w:val="left"/>
      </w:pPr>
      <w:r>
        <w:rPr>
          <w:rFonts w:ascii="Courier New" w:eastAsia="Courier New" w:hAnsi="Courier New" w:cs="Courier New"/>
          <w:sz w:val="16"/>
        </w:rPr>
        <w:t>Output: stream of (window_id, technique, score)</w:t>
      </w:r>
      <w:r>
        <w:t xml:space="preserve"> </w:t>
      </w:r>
    </w:p>
    <w:p w14:paraId="2D5279CE" w14:textId="77777777" w:rsidR="00A76AD3" w:rsidRDefault="008275FF">
      <w:pPr>
        <w:spacing w:after="0" w:line="259" w:lineRule="auto"/>
        <w:ind w:left="200" w:right="0" w:firstLine="0"/>
        <w:jc w:val="left"/>
      </w:pPr>
      <w:r>
        <w:t xml:space="preserve"> </w:t>
      </w:r>
    </w:p>
    <w:p w14:paraId="5017A9C7" w14:textId="77777777" w:rsidR="00A76AD3" w:rsidRDefault="008275FF">
      <w:pPr>
        <w:spacing w:after="4"/>
        <w:ind w:left="195" w:right="348"/>
        <w:jc w:val="left"/>
      </w:pPr>
      <w:r>
        <w:rPr>
          <w:rFonts w:ascii="Courier New" w:eastAsia="Courier New" w:hAnsi="Courier New" w:cs="Courier New"/>
          <w:sz w:val="16"/>
        </w:rPr>
        <w:t>buffer &lt;- empty deque of size 512</w:t>
      </w:r>
      <w:r>
        <w:t xml:space="preserve"> </w:t>
      </w:r>
      <w:r>
        <w:rPr>
          <w:rFonts w:ascii="Courier New" w:eastAsia="Courier New" w:hAnsi="Courier New" w:cs="Courier New"/>
          <w:sz w:val="16"/>
        </w:rPr>
        <w:t>for each token t in S:</w:t>
      </w:r>
      <w:r>
        <w:t xml:space="preserve"> </w:t>
      </w:r>
      <w:r>
        <w:rPr>
          <w:rFonts w:ascii="Courier New" w:eastAsia="Courier New" w:hAnsi="Courier New" w:cs="Courier New"/>
          <w:sz w:val="16"/>
        </w:rPr>
        <w:t xml:space="preserve">        push t to buffer</w:t>
      </w:r>
      <w:r>
        <w:t xml:space="preserve"> </w:t>
      </w:r>
      <w:r>
        <w:rPr>
          <w:rFonts w:ascii="Courier New" w:eastAsia="Courier New" w:hAnsi="Courier New" w:cs="Courier New"/>
          <w:sz w:val="16"/>
        </w:rPr>
        <w:t xml:space="preserve">        if len(buffer) == 512 and stride_due:</w:t>
      </w:r>
      <w:r>
        <w:t xml:space="preserve"> </w:t>
      </w:r>
      <w:r>
        <w:rPr>
          <w:rFonts w:ascii="Courier New" w:eastAsia="Courier New" w:hAnsi="Courier New" w:cs="Courier New"/>
          <w:sz w:val="16"/>
        </w:rPr>
        <w:t xml:space="preserve">                logits &lt;- M.forward(buffer)</w:t>
      </w:r>
      <w:r>
        <w:t xml:space="preserve"> </w:t>
      </w:r>
      <w:r>
        <w:rPr>
          <w:rFonts w:ascii="Courier New" w:eastAsia="Courier New" w:hAnsi="Courier New" w:cs="Courier New"/>
          <w:sz w:val="16"/>
        </w:rPr>
        <w:t xml:space="preserve">                (tech, score) &lt;- argmax_softmax(logits)</w:t>
      </w:r>
      <w:r>
        <w:t xml:space="preserve"> </w:t>
      </w:r>
      <w:r>
        <w:rPr>
          <w:rFonts w:ascii="Courier New" w:eastAsia="Courier New" w:hAnsi="Courier New" w:cs="Courier New"/>
          <w:sz w:val="16"/>
        </w:rPr>
        <w:t xml:space="preserve">                if score &gt;= tau:</w:t>
      </w:r>
      <w:r>
        <w:t xml:space="preserve"> </w:t>
      </w:r>
    </w:p>
    <w:p w14:paraId="36D91E3F" w14:textId="77777777" w:rsidR="00A76AD3" w:rsidRDefault="008275FF">
      <w:pPr>
        <w:spacing w:after="4"/>
        <w:ind w:left="195" w:right="267"/>
        <w:jc w:val="left"/>
      </w:pPr>
      <w:r>
        <w:rPr>
          <w:rFonts w:ascii="Courier New" w:eastAsia="Courier New" w:hAnsi="Courier New" w:cs="Courier New"/>
          <w:sz w:val="16"/>
        </w:rPr>
        <w:t xml:space="preserve">                        emit (window_id, tech, score)</w:t>
      </w:r>
      <w:r>
        <w:t xml:space="preserve"> </w:t>
      </w:r>
      <w:r>
        <w:rPr>
          <w:rFonts w:ascii="Courier New" w:eastAsia="Courier New" w:hAnsi="Courier New" w:cs="Courier New"/>
          <w:sz w:val="16"/>
        </w:rPr>
        <w:t xml:space="preserve">                slide buffer by stride (=64)</w:t>
      </w:r>
      <w:r>
        <w:t xml:space="preserve"> </w:t>
      </w:r>
    </w:p>
    <w:p w14:paraId="426A2064" w14:textId="77777777" w:rsidR="00A76AD3" w:rsidRDefault="008275FF">
      <w:pPr>
        <w:spacing w:after="161" w:line="259" w:lineRule="auto"/>
        <w:ind w:left="0" w:right="0" w:firstLine="0"/>
        <w:jc w:val="left"/>
      </w:pPr>
      <w:r>
        <w:t xml:space="preserve"> </w:t>
      </w:r>
    </w:p>
    <w:p w14:paraId="7C697D6F" w14:textId="77777777" w:rsidR="00A76AD3" w:rsidRDefault="008275FF">
      <w:pPr>
        <w:pStyle w:val="Heading2"/>
        <w:ind w:left="195"/>
      </w:pPr>
      <w:r>
        <w:t>C.  Behavioral Pattern Detector (BPD) for Ransomware</w:t>
      </w:r>
      <w:r>
        <w:rPr>
          <w:i w:val="0"/>
        </w:rPr>
        <w:t xml:space="preserve"> </w:t>
      </w:r>
    </w:p>
    <w:p w14:paraId="75FDF4BF" w14:textId="77777777" w:rsidR="00A76AD3" w:rsidRDefault="008275FF">
      <w:pPr>
        <w:ind w:left="-5" w:right="0"/>
      </w:pPr>
      <w:r>
        <w:t xml:space="preserve">Ransomware activity tends to follow a recognizable pattern, although the precise ordering varies between families. A typical campaign enumerates target files, deletes or disables Volume Shadow Copies (for example via vssadmin delete shadows or wmic shadowcopy delete), encrypts a large number of files in a short window while appending a new extension, and finally drops a ransom note in each affected directory. The BPD aims to catch this sequence as early as it can—preferably during the pre-encryption phase, before any irreversible damage has occurred. Fig. 3 illustrates how the LSA and BPD detection windows overlay the ransomware kill chain. </w:t>
      </w:r>
    </w:p>
    <w:p w14:paraId="2AA3331B" w14:textId="77777777" w:rsidR="00A76AD3" w:rsidRDefault="008275FF">
      <w:pPr>
        <w:spacing w:after="0" w:line="259" w:lineRule="auto"/>
        <w:ind w:left="0" w:right="718" w:firstLine="0"/>
        <w:jc w:val="right"/>
      </w:pPr>
      <w:r>
        <w:rPr>
          <w:noProof/>
        </w:rPr>
        <w:drawing>
          <wp:inline distT="0" distB="0" distL="0" distR="0" wp14:anchorId="4341A6CF" wp14:editId="48A939ED">
            <wp:extent cx="2190750" cy="1095375"/>
            <wp:effectExtent l="0" t="0" r="0" b="0"/>
            <wp:docPr id="1890" name="Picture 1890"/>
            <wp:cNvGraphicFramePr/>
            <a:graphic xmlns:a="http://schemas.openxmlformats.org/drawingml/2006/main">
              <a:graphicData uri="http://schemas.openxmlformats.org/drawingml/2006/picture">
                <pic:pic xmlns:pic="http://schemas.openxmlformats.org/drawingml/2006/picture">
                  <pic:nvPicPr>
                    <pic:cNvPr id="1890" name="Picture 1890"/>
                    <pic:cNvPicPr/>
                  </pic:nvPicPr>
                  <pic:blipFill>
                    <a:blip r:embed="rId7"/>
                    <a:stretch>
                      <a:fillRect/>
                    </a:stretch>
                  </pic:blipFill>
                  <pic:spPr>
                    <a:xfrm>
                      <a:off x="0" y="0"/>
                      <a:ext cx="2190750" cy="1095375"/>
                    </a:xfrm>
                    <a:prstGeom prst="rect">
                      <a:avLst/>
                    </a:prstGeom>
                  </pic:spPr>
                </pic:pic>
              </a:graphicData>
            </a:graphic>
          </wp:inline>
        </w:drawing>
      </w:r>
      <w:r>
        <w:t xml:space="preserve"> </w:t>
      </w:r>
    </w:p>
    <w:p w14:paraId="51EC660E" w14:textId="77777777" w:rsidR="00A76AD3" w:rsidRDefault="008275FF">
      <w:pPr>
        <w:spacing w:after="121" w:line="235" w:lineRule="auto"/>
        <w:ind w:left="31" w:right="0" w:hanging="21"/>
        <w:jc w:val="left"/>
      </w:pPr>
      <w:r>
        <w:rPr>
          <w:sz w:val="16"/>
        </w:rPr>
        <w:t>Fig. 3.  Ransomware kill chain with LSA and BPD detection windows. The coordinated alert fires before encryption begins, leaving a recovery margin for SOC response.</w:t>
      </w:r>
      <w:r>
        <w:t xml:space="preserve"> </w:t>
      </w:r>
    </w:p>
    <w:p w14:paraId="7513F95B" w14:textId="77777777" w:rsidR="00A76AD3" w:rsidRDefault="008275FF">
      <w:pPr>
        <w:pStyle w:val="Heading2"/>
        <w:ind w:left="195"/>
      </w:pPr>
      <w:r>
        <w:t>1)  Constrained vocabulary</w:t>
      </w:r>
      <w:r>
        <w:rPr>
          <w:i w:val="0"/>
        </w:rPr>
        <w:t xml:space="preserve"> </w:t>
      </w:r>
    </w:p>
    <w:p w14:paraId="1A5202D6" w14:textId="77777777" w:rsidR="00A76AD3" w:rsidRDefault="008275FF">
      <w:pPr>
        <w:spacing w:after="130"/>
        <w:ind w:left="-5" w:right="0"/>
      </w:pPr>
      <w:r>
        <w:t xml:space="preserve">We limit the BPD's vocabulary to roughly two thousand tokens, drawn from the ATT&amp;CK Enterprise Matrix (technique and sub-technique identifiers, common procedurelevel keywords) and a curated list of OS telemetry primitives (file extensions, process names, registry hive prefixes, command-line flags), following the UpSight method [8]. This limited vocabulary keeps the model small—the entire embedding table fits comfortably in cache—and prevents the model from attending to security-irrelevant content such as </w:t>
      </w:r>
      <w:r>
        <w:t xml:space="preserve">user-document text or random binary blobs. A side benefit is interpretability: every output token corresponds to a recognizable security concept, so analysts can read the BPD's intermediate state directly. </w:t>
      </w:r>
    </w:p>
    <w:p w14:paraId="57437913" w14:textId="77777777" w:rsidR="00A76AD3" w:rsidRDefault="008275FF">
      <w:pPr>
        <w:pStyle w:val="Heading2"/>
        <w:ind w:left="195"/>
      </w:pPr>
      <w:r>
        <w:t>2)  Telemetry channels</w:t>
      </w:r>
      <w:r>
        <w:rPr>
          <w:i w:val="0"/>
        </w:rPr>
        <w:t xml:space="preserve"> </w:t>
      </w:r>
    </w:p>
    <w:p w14:paraId="5288A39F" w14:textId="77777777" w:rsidR="00A76AD3" w:rsidRDefault="008275FF">
      <w:pPr>
        <w:spacing w:after="130"/>
        <w:ind w:left="-5" w:right="0"/>
      </w:pPr>
      <w:r>
        <w:t xml:space="preserve">The BPD monitors three telemetry channels in parallel, encoded as separate token-type embeddings: (i) file-system events, including rapid recursive enumeration, mass renames, and shadow-copy deletion mapping to T1490 (Inhibit System Recovery); (ii) process-level signals, including unusual API call chains flagged via dynamic sequence alignment, parentchild process anomalies, and execution from non-standard paths; and (iii) network behaviour, including unexpected outbound connections that may correspond to </w:t>
      </w:r>
      <w:r>
        <w:t xml:space="preserve">command-andcontrol traffic or pre-encryption exfiltration. Each channel feeds into a shared transformer backbone, with channelspecific positional encodings that allow the model to distinguish a file-rename event from a syntactically similar process-execution event. </w:t>
      </w:r>
    </w:p>
    <w:p w14:paraId="5EF9DCCE" w14:textId="77777777" w:rsidR="00A76AD3" w:rsidRDefault="008275FF">
      <w:pPr>
        <w:pStyle w:val="Heading2"/>
        <w:ind w:left="195"/>
      </w:pPr>
      <w:r>
        <w:t>3)  Threat scoring and pre-encryption alert</w:t>
      </w:r>
      <w:r>
        <w:rPr>
          <w:i w:val="0"/>
        </w:rPr>
        <w:t xml:space="preserve"> </w:t>
      </w:r>
    </w:p>
    <w:p w14:paraId="3298C711" w14:textId="77777777" w:rsidR="00A76AD3" w:rsidRDefault="008275FF">
      <w:pPr>
        <w:spacing w:after="130"/>
        <w:ind w:left="-5" w:right="0"/>
      </w:pPr>
      <w:r>
        <w:t>On top of the SLM's last hidden states we place a lightweight attention-based scoring layer that maintains a running threat score for each event window. The score is updated incrementally as new events arrive, decays slowly when activity returns to normal, and accumulates rapidly when multiple high-signal indicators co-occur. When the score exceeds a configured threshold the system raises a preencryption alert, giving incident responders a short but valuable window—often a few seconds to a minute—to isola</w:t>
      </w:r>
      <w:r>
        <w:t xml:space="preserve">te the affected host before extensive file damage occurs. The threshold is configurable per deployment, allowing operators to trade off responsiveness against false-positive </w:t>
      </w:r>
      <w:r>
        <w:t xml:space="preserve">cost. In environments where automated response is desirable, the BPD output can also drive an immediate process-kill or network-quarantine action without analyst intervention. </w:t>
      </w:r>
    </w:p>
    <w:p w14:paraId="2A19B729" w14:textId="77777777" w:rsidR="00A76AD3" w:rsidRDefault="008275FF">
      <w:pPr>
        <w:pStyle w:val="Heading2"/>
        <w:ind w:left="195"/>
      </w:pPr>
      <w:r>
        <w:t>4)  Pseudocode</w:t>
      </w:r>
      <w:r>
        <w:rPr>
          <w:i w:val="0"/>
        </w:rPr>
        <w:t xml:space="preserve"> </w:t>
      </w:r>
    </w:p>
    <w:p w14:paraId="37946D85" w14:textId="77777777" w:rsidR="00A76AD3" w:rsidRDefault="008275FF">
      <w:pPr>
        <w:spacing w:after="115"/>
        <w:ind w:left="-15" w:right="0" w:firstLine="200"/>
      </w:pPr>
      <w:r>
        <w:t xml:space="preserve">Algorithm 2 specifies the BPD's online scoring and alerting logic. </w:t>
      </w:r>
    </w:p>
    <w:p w14:paraId="543A680C" w14:textId="77777777" w:rsidR="00A76AD3" w:rsidRDefault="008275FF">
      <w:pPr>
        <w:spacing w:after="6" w:line="259" w:lineRule="auto"/>
        <w:ind w:left="-5" w:right="0"/>
        <w:jc w:val="left"/>
      </w:pPr>
      <w:r>
        <w:rPr>
          <w:b/>
          <w:sz w:val="16"/>
        </w:rPr>
        <w:t>Algorithm 2: BPD Online Threat Scoring</w:t>
      </w:r>
      <w:r>
        <w:t xml:space="preserve"> </w:t>
      </w:r>
    </w:p>
    <w:p w14:paraId="5FB6814E" w14:textId="77777777" w:rsidR="00A76AD3" w:rsidRDefault="008275FF">
      <w:pPr>
        <w:spacing w:after="4"/>
        <w:ind w:left="195" w:right="348"/>
        <w:jc w:val="left"/>
      </w:pPr>
      <w:r>
        <w:rPr>
          <w:rFonts w:ascii="Courier New" w:eastAsia="Courier New" w:hAnsi="Courier New" w:cs="Courier New"/>
          <w:sz w:val="16"/>
        </w:rPr>
        <w:t>Input:  event stream E (FS, process, network)</w:t>
      </w:r>
      <w:r>
        <w:t xml:space="preserve"> </w:t>
      </w:r>
    </w:p>
    <w:p w14:paraId="778B6B38" w14:textId="77777777" w:rsidR="00A76AD3" w:rsidRDefault="008275FF">
      <w:pPr>
        <w:spacing w:after="4"/>
        <w:ind w:left="195" w:right="697"/>
        <w:jc w:val="left"/>
      </w:pPr>
      <w:r>
        <w:rPr>
          <w:rFonts w:ascii="Courier New" w:eastAsia="Courier New" w:hAnsi="Courier New" w:cs="Courier New"/>
          <w:sz w:val="16"/>
        </w:rPr>
        <w:t xml:space="preserve">        model M (fine-tuned BPD)</w:t>
      </w:r>
      <w:r>
        <w:t xml:space="preserve"> </w:t>
      </w:r>
      <w:r>
        <w:rPr>
          <w:rFonts w:ascii="Courier New" w:eastAsia="Courier New" w:hAnsi="Courier New" w:cs="Courier New"/>
          <w:sz w:val="16"/>
        </w:rPr>
        <w:t xml:space="preserve">        threshold tau, decay rate d</w:t>
      </w:r>
      <w:r>
        <w:t xml:space="preserve"> </w:t>
      </w:r>
    </w:p>
    <w:p w14:paraId="3A9D3409" w14:textId="77777777" w:rsidR="00A76AD3" w:rsidRDefault="008275FF">
      <w:pPr>
        <w:spacing w:after="4"/>
        <w:ind w:left="195" w:right="348"/>
        <w:jc w:val="left"/>
      </w:pPr>
      <w:r>
        <w:rPr>
          <w:rFonts w:ascii="Courier New" w:eastAsia="Courier New" w:hAnsi="Courier New" w:cs="Courier New"/>
          <w:sz w:val="16"/>
        </w:rPr>
        <w:t>Output: pre-encryption alerts</w:t>
      </w:r>
      <w:r>
        <w:t xml:space="preserve"> </w:t>
      </w:r>
    </w:p>
    <w:p w14:paraId="3BE21E4D" w14:textId="77777777" w:rsidR="00A76AD3" w:rsidRDefault="008275FF">
      <w:pPr>
        <w:spacing w:after="0" w:line="259" w:lineRule="auto"/>
        <w:ind w:left="200" w:right="0" w:firstLine="0"/>
        <w:jc w:val="left"/>
      </w:pPr>
      <w:r>
        <w:t xml:space="preserve"> </w:t>
      </w:r>
    </w:p>
    <w:p w14:paraId="6CB1526D" w14:textId="77777777" w:rsidR="00A76AD3" w:rsidRDefault="008275FF">
      <w:pPr>
        <w:spacing w:after="4"/>
        <w:ind w:left="195" w:right="348"/>
        <w:jc w:val="left"/>
      </w:pPr>
      <w:r>
        <w:rPr>
          <w:rFonts w:ascii="Courier New" w:eastAsia="Courier New" w:hAnsi="Courier New" w:cs="Courier New"/>
          <w:sz w:val="16"/>
        </w:rPr>
        <w:t>score &lt;- 0.0</w:t>
      </w:r>
      <w:r>
        <w:t xml:space="preserve"> </w:t>
      </w:r>
      <w:r>
        <w:rPr>
          <w:rFonts w:ascii="Courier New" w:eastAsia="Courier New" w:hAnsi="Courier New" w:cs="Courier New"/>
          <w:sz w:val="16"/>
        </w:rPr>
        <w:t>buffer &lt;- empty window of size 256</w:t>
      </w:r>
      <w:r>
        <w:t xml:space="preserve"> </w:t>
      </w:r>
      <w:r>
        <w:rPr>
          <w:rFonts w:ascii="Courier New" w:eastAsia="Courier New" w:hAnsi="Courier New" w:cs="Courier New"/>
          <w:sz w:val="16"/>
        </w:rPr>
        <w:t>for each event e in E:</w:t>
      </w:r>
      <w:r>
        <w:t xml:space="preserve"> </w:t>
      </w:r>
      <w:r>
        <w:rPr>
          <w:rFonts w:ascii="Courier New" w:eastAsia="Courier New" w:hAnsi="Courier New" w:cs="Courier New"/>
          <w:sz w:val="16"/>
        </w:rPr>
        <w:t xml:space="preserve">        push tokenize(e) to buffer</w:t>
      </w:r>
      <w:r>
        <w:t xml:space="preserve"> </w:t>
      </w:r>
      <w:r>
        <w:rPr>
          <w:rFonts w:ascii="Courier New" w:eastAsia="Courier New" w:hAnsi="Courier New" w:cs="Courier New"/>
          <w:sz w:val="16"/>
        </w:rPr>
        <w:t xml:space="preserve">        score &lt;- (1 - d) * score    # exponential decay</w:t>
      </w:r>
      <w:r>
        <w:t xml:space="preserve"> </w:t>
      </w:r>
      <w:r>
        <w:rPr>
          <w:rFonts w:ascii="Courier New" w:eastAsia="Courier New" w:hAnsi="Courier New" w:cs="Courier New"/>
          <w:sz w:val="16"/>
        </w:rPr>
        <w:t xml:space="preserve">        h &lt;- M.encode(buffer)</w:t>
      </w:r>
      <w:r>
        <w:t xml:space="preserve"> </w:t>
      </w:r>
      <w:r>
        <w:rPr>
          <w:rFonts w:ascii="Courier New" w:eastAsia="Courier New" w:hAnsi="Courier New" w:cs="Courier New"/>
          <w:sz w:val="16"/>
        </w:rPr>
        <w:t xml:space="preserve">        delta &lt;- AttnScorer(h)      # incremental score</w:t>
      </w:r>
      <w:r>
        <w:t xml:space="preserve"> </w:t>
      </w:r>
      <w:r>
        <w:rPr>
          <w:rFonts w:ascii="Courier New" w:eastAsia="Courier New" w:hAnsi="Courier New" w:cs="Courier New"/>
          <w:sz w:val="16"/>
        </w:rPr>
        <w:t xml:space="preserve">        score &lt;- score + delta</w:t>
      </w:r>
      <w:r>
        <w:t xml:space="preserve"> </w:t>
      </w:r>
      <w:r>
        <w:rPr>
          <w:rFonts w:ascii="Courier New" w:eastAsia="Courier New" w:hAnsi="Courier New" w:cs="Courier New"/>
          <w:sz w:val="16"/>
        </w:rPr>
        <w:t xml:space="preserve">        if score &gt;= tau:</w:t>
      </w:r>
      <w:r>
        <w:t xml:space="preserve"> </w:t>
      </w:r>
      <w:r>
        <w:rPr>
          <w:rFonts w:ascii="Courier New" w:eastAsia="Courier New" w:hAnsi="Courier New" w:cs="Courier New"/>
          <w:sz w:val="16"/>
        </w:rPr>
        <w:t xml:space="preserve">                emit PreEncryptionAlert(host, top_techniques(h))</w:t>
      </w:r>
      <w:r>
        <w:t xml:space="preserve"> </w:t>
      </w:r>
    </w:p>
    <w:p w14:paraId="69B4135C" w14:textId="77777777" w:rsidR="00A76AD3" w:rsidRDefault="008275FF">
      <w:pPr>
        <w:spacing w:after="4"/>
        <w:ind w:left="195" w:right="348"/>
        <w:jc w:val="left"/>
      </w:pPr>
      <w:r>
        <w:rPr>
          <w:rFonts w:ascii="Courier New" w:eastAsia="Courier New" w:hAnsi="Courier New" w:cs="Courier New"/>
          <w:sz w:val="16"/>
        </w:rPr>
        <w:t xml:space="preserve">                score &lt;- 0.0   # reset after alert</w:t>
      </w:r>
      <w:r>
        <w:t xml:space="preserve"> </w:t>
      </w:r>
    </w:p>
    <w:p w14:paraId="3C57A2B0" w14:textId="77777777" w:rsidR="00A76AD3" w:rsidRDefault="008275FF">
      <w:pPr>
        <w:spacing w:after="176" w:line="259" w:lineRule="auto"/>
        <w:ind w:left="0" w:right="0" w:firstLine="0"/>
        <w:jc w:val="left"/>
      </w:pPr>
      <w:r>
        <w:t xml:space="preserve"> </w:t>
      </w:r>
    </w:p>
    <w:p w14:paraId="090913DB" w14:textId="77777777" w:rsidR="00A76AD3" w:rsidRDefault="008275FF">
      <w:pPr>
        <w:spacing w:after="0" w:line="259" w:lineRule="auto"/>
        <w:ind w:right="3"/>
        <w:jc w:val="center"/>
      </w:pPr>
      <w:r>
        <w:rPr>
          <w:sz w:val="16"/>
        </w:rPr>
        <w:t>TABLE IV.   S</w:t>
      </w:r>
      <w:r>
        <w:rPr>
          <w:sz w:val="13"/>
        </w:rPr>
        <w:t xml:space="preserve">YSTEM </w:t>
      </w:r>
      <w:r>
        <w:rPr>
          <w:sz w:val="16"/>
        </w:rPr>
        <w:t>C</w:t>
      </w:r>
      <w:r>
        <w:rPr>
          <w:sz w:val="13"/>
        </w:rPr>
        <w:t>OMPONENTS AN</w:t>
      </w:r>
      <w:r>
        <w:rPr>
          <w:sz w:val="13"/>
        </w:rPr>
        <w:t xml:space="preserve">D </w:t>
      </w:r>
      <w:r>
        <w:rPr>
          <w:sz w:val="16"/>
        </w:rPr>
        <w:t>M</w:t>
      </w:r>
      <w:r>
        <w:rPr>
          <w:sz w:val="13"/>
        </w:rPr>
        <w:t>ODELS</w:t>
      </w:r>
      <w:r>
        <w:t xml:space="preserve"> </w:t>
      </w:r>
    </w:p>
    <w:tbl>
      <w:tblPr>
        <w:tblStyle w:val="TableGrid"/>
        <w:tblW w:w="4402" w:type="dxa"/>
        <w:tblInd w:w="240" w:type="dxa"/>
        <w:tblCellMar>
          <w:top w:w="65" w:type="dxa"/>
          <w:left w:w="82" w:type="dxa"/>
          <w:bottom w:w="0" w:type="dxa"/>
          <w:right w:w="40" w:type="dxa"/>
        </w:tblCellMar>
        <w:tblLook w:val="04A0" w:firstRow="1" w:lastRow="0" w:firstColumn="1" w:lastColumn="0" w:noHBand="0" w:noVBand="1"/>
      </w:tblPr>
      <w:tblGrid>
        <w:gridCol w:w="1196"/>
        <w:gridCol w:w="821"/>
        <w:gridCol w:w="1286"/>
        <w:gridCol w:w="1099"/>
      </w:tblGrid>
      <w:tr w:rsidR="00A76AD3" w14:paraId="25F1AB25" w14:textId="77777777">
        <w:trPr>
          <w:trHeight w:val="317"/>
        </w:trPr>
        <w:tc>
          <w:tcPr>
            <w:tcW w:w="1195" w:type="dxa"/>
            <w:tcBorders>
              <w:top w:val="single" w:sz="4" w:space="0" w:color="000000"/>
              <w:left w:val="single" w:sz="4" w:space="0" w:color="000000"/>
              <w:bottom w:val="single" w:sz="4" w:space="0" w:color="000000"/>
              <w:right w:val="single" w:sz="4" w:space="0" w:color="000000"/>
            </w:tcBorders>
          </w:tcPr>
          <w:p w14:paraId="3C4B6AD6" w14:textId="77777777" w:rsidR="00A76AD3" w:rsidRDefault="008275FF">
            <w:pPr>
              <w:spacing w:after="0" w:line="259" w:lineRule="auto"/>
              <w:ind w:left="0" w:right="48" w:firstLine="0"/>
              <w:jc w:val="center"/>
            </w:pPr>
            <w:r>
              <w:rPr>
                <w:b/>
                <w:sz w:val="16"/>
              </w:rPr>
              <w:t>Component</w:t>
            </w:r>
            <w:r>
              <w:t xml:space="preserve"> </w:t>
            </w:r>
          </w:p>
        </w:tc>
        <w:tc>
          <w:tcPr>
            <w:tcW w:w="821" w:type="dxa"/>
            <w:tcBorders>
              <w:top w:val="single" w:sz="4" w:space="0" w:color="000000"/>
              <w:left w:val="single" w:sz="4" w:space="0" w:color="000000"/>
              <w:bottom w:val="single" w:sz="4" w:space="0" w:color="000000"/>
              <w:right w:val="single" w:sz="4" w:space="0" w:color="000000"/>
            </w:tcBorders>
          </w:tcPr>
          <w:p w14:paraId="344E6903" w14:textId="77777777" w:rsidR="00A76AD3" w:rsidRDefault="008275FF">
            <w:pPr>
              <w:spacing w:after="0" w:line="259" w:lineRule="auto"/>
              <w:ind w:left="0" w:right="42" w:firstLine="0"/>
              <w:jc w:val="center"/>
            </w:pPr>
            <w:r>
              <w:rPr>
                <w:b/>
                <w:sz w:val="16"/>
              </w:rPr>
              <w:t>Model</w:t>
            </w:r>
            <w:r>
              <w:t xml:space="preserve"> </w:t>
            </w:r>
          </w:p>
        </w:tc>
        <w:tc>
          <w:tcPr>
            <w:tcW w:w="1286" w:type="dxa"/>
            <w:tcBorders>
              <w:top w:val="single" w:sz="4" w:space="0" w:color="000000"/>
              <w:left w:val="single" w:sz="4" w:space="0" w:color="000000"/>
              <w:bottom w:val="single" w:sz="4" w:space="0" w:color="000000"/>
              <w:right w:val="single" w:sz="4" w:space="0" w:color="000000"/>
            </w:tcBorders>
          </w:tcPr>
          <w:p w14:paraId="3F1F66B1" w14:textId="77777777" w:rsidR="00A76AD3" w:rsidRDefault="008275FF">
            <w:pPr>
              <w:spacing w:after="0" w:line="259" w:lineRule="auto"/>
              <w:ind w:left="0" w:right="47" w:firstLine="0"/>
              <w:jc w:val="center"/>
            </w:pPr>
            <w:r>
              <w:rPr>
                <w:b/>
                <w:sz w:val="16"/>
              </w:rPr>
              <w:t>Input</w:t>
            </w:r>
            <w:r>
              <w:t xml:space="preserve"> </w:t>
            </w:r>
          </w:p>
        </w:tc>
        <w:tc>
          <w:tcPr>
            <w:tcW w:w="1099" w:type="dxa"/>
            <w:tcBorders>
              <w:top w:val="single" w:sz="4" w:space="0" w:color="000000"/>
              <w:left w:val="single" w:sz="4" w:space="0" w:color="000000"/>
              <w:bottom w:val="single" w:sz="4" w:space="0" w:color="000000"/>
              <w:right w:val="single" w:sz="4" w:space="0" w:color="000000"/>
            </w:tcBorders>
          </w:tcPr>
          <w:p w14:paraId="32B35C88" w14:textId="77777777" w:rsidR="00A76AD3" w:rsidRDefault="008275FF">
            <w:pPr>
              <w:spacing w:after="0" w:line="259" w:lineRule="auto"/>
              <w:ind w:left="0" w:right="50" w:firstLine="0"/>
              <w:jc w:val="center"/>
            </w:pPr>
            <w:r>
              <w:rPr>
                <w:b/>
                <w:sz w:val="16"/>
              </w:rPr>
              <w:t>Output</w:t>
            </w:r>
            <w:r>
              <w:t xml:space="preserve"> </w:t>
            </w:r>
          </w:p>
        </w:tc>
      </w:tr>
      <w:tr w:rsidR="00A76AD3" w14:paraId="5041956E" w14:textId="77777777">
        <w:trPr>
          <w:trHeight w:val="494"/>
        </w:trPr>
        <w:tc>
          <w:tcPr>
            <w:tcW w:w="1195" w:type="dxa"/>
            <w:tcBorders>
              <w:top w:val="single" w:sz="4" w:space="0" w:color="000000"/>
              <w:left w:val="single" w:sz="4" w:space="0" w:color="000000"/>
              <w:bottom w:val="single" w:sz="4" w:space="0" w:color="000000"/>
              <w:right w:val="single" w:sz="4" w:space="0" w:color="000000"/>
            </w:tcBorders>
          </w:tcPr>
          <w:p w14:paraId="433F66D5" w14:textId="77777777" w:rsidR="00A76AD3" w:rsidRDefault="008275FF">
            <w:pPr>
              <w:spacing w:after="0" w:line="259" w:lineRule="auto"/>
              <w:ind w:left="0" w:right="49" w:firstLine="0"/>
              <w:jc w:val="center"/>
            </w:pPr>
            <w:r>
              <w:rPr>
                <w:sz w:val="16"/>
              </w:rPr>
              <w:t>LSA</w:t>
            </w:r>
            <w:r>
              <w:t xml:space="preserve"> </w:t>
            </w:r>
          </w:p>
        </w:tc>
        <w:tc>
          <w:tcPr>
            <w:tcW w:w="821" w:type="dxa"/>
            <w:tcBorders>
              <w:top w:val="single" w:sz="4" w:space="0" w:color="000000"/>
              <w:left w:val="single" w:sz="4" w:space="0" w:color="000000"/>
              <w:bottom w:val="single" w:sz="4" w:space="0" w:color="000000"/>
              <w:right w:val="single" w:sz="4" w:space="0" w:color="000000"/>
            </w:tcBorders>
          </w:tcPr>
          <w:p w14:paraId="7258E2A7" w14:textId="77777777" w:rsidR="00A76AD3" w:rsidRDefault="008275FF">
            <w:pPr>
              <w:spacing w:after="0" w:line="259" w:lineRule="auto"/>
              <w:ind w:left="0" w:right="2" w:firstLine="0"/>
              <w:jc w:val="center"/>
            </w:pPr>
            <w:r>
              <w:rPr>
                <w:sz w:val="16"/>
              </w:rPr>
              <w:t>Phi-3 Mini</w:t>
            </w:r>
            <w:r>
              <w:t xml:space="preserve"> </w:t>
            </w:r>
          </w:p>
        </w:tc>
        <w:tc>
          <w:tcPr>
            <w:tcW w:w="1286" w:type="dxa"/>
            <w:tcBorders>
              <w:top w:val="single" w:sz="4" w:space="0" w:color="000000"/>
              <w:left w:val="single" w:sz="4" w:space="0" w:color="000000"/>
              <w:bottom w:val="single" w:sz="4" w:space="0" w:color="000000"/>
              <w:right w:val="single" w:sz="4" w:space="0" w:color="000000"/>
            </w:tcBorders>
          </w:tcPr>
          <w:p w14:paraId="56FC0260" w14:textId="77777777" w:rsidR="00A76AD3" w:rsidRDefault="008275FF">
            <w:pPr>
              <w:spacing w:after="0" w:line="259" w:lineRule="auto"/>
              <w:ind w:left="0" w:right="48" w:firstLine="0"/>
              <w:jc w:val="center"/>
            </w:pPr>
            <w:r>
              <w:rPr>
                <w:sz w:val="16"/>
              </w:rPr>
              <w:t>Auth logs</w:t>
            </w:r>
            <w:r>
              <w:t xml:space="preserve"> </w:t>
            </w:r>
          </w:p>
        </w:tc>
        <w:tc>
          <w:tcPr>
            <w:tcW w:w="1099" w:type="dxa"/>
            <w:tcBorders>
              <w:top w:val="single" w:sz="4" w:space="0" w:color="000000"/>
              <w:left w:val="single" w:sz="4" w:space="0" w:color="000000"/>
              <w:bottom w:val="single" w:sz="4" w:space="0" w:color="000000"/>
              <w:right w:val="single" w:sz="4" w:space="0" w:color="000000"/>
            </w:tcBorders>
          </w:tcPr>
          <w:p w14:paraId="1CF3F152" w14:textId="77777777" w:rsidR="00A76AD3" w:rsidRDefault="008275FF">
            <w:pPr>
              <w:spacing w:after="25" w:line="259" w:lineRule="auto"/>
              <w:ind w:left="0" w:firstLine="0"/>
              <w:jc w:val="center"/>
            </w:pPr>
            <w:r>
              <w:rPr>
                <w:sz w:val="16"/>
              </w:rPr>
              <w:t xml:space="preserve">ATT&amp;CK </w:t>
            </w:r>
          </w:p>
          <w:p w14:paraId="557DA576" w14:textId="77777777" w:rsidR="00A76AD3" w:rsidRDefault="008275FF">
            <w:pPr>
              <w:spacing w:after="0" w:line="259" w:lineRule="auto"/>
              <w:ind w:left="0" w:right="50" w:firstLine="0"/>
              <w:jc w:val="center"/>
            </w:pPr>
            <w:r>
              <w:rPr>
                <w:sz w:val="16"/>
              </w:rPr>
              <w:t>techniques</w:t>
            </w:r>
            <w:r>
              <w:t xml:space="preserve"> </w:t>
            </w:r>
          </w:p>
        </w:tc>
      </w:tr>
      <w:tr w:rsidR="00A76AD3" w14:paraId="7F73AAD7" w14:textId="77777777">
        <w:trPr>
          <w:trHeight w:val="499"/>
        </w:trPr>
        <w:tc>
          <w:tcPr>
            <w:tcW w:w="1195" w:type="dxa"/>
            <w:tcBorders>
              <w:top w:val="single" w:sz="4" w:space="0" w:color="000000"/>
              <w:left w:val="single" w:sz="4" w:space="0" w:color="000000"/>
              <w:bottom w:val="single" w:sz="4" w:space="0" w:color="000000"/>
              <w:right w:val="single" w:sz="4" w:space="0" w:color="000000"/>
            </w:tcBorders>
          </w:tcPr>
          <w:p w14:paraId="7F0E7692" w14:textId="77777777" w:rsidR="00A76AD3" w:rsidRDefault="008275FF">
            <w:pPr>
              <w:spacing w:after="0" w:line="259" w:lineRule="auto"/>
              <w:ind w:left="0" w:right="49" w:firstLine="0"/>
              <w:jc w:val="center"/>
            </w:pPr>
            <w:r>
              <w:rPr>
                <w:sz w:val="16"/>
              </w:rPr>
              <w:t>BPD</w:t>
            </w:r>
            <w:r>
              <w:t xml:space="preserve"> </w:t>
            </w:r>
          </w:p>
        </w:tc>
        <w:tc>
          <w:tcPr>
            <w:tcW w:w="821" w:type="dxa"/>
            <w:tcBorders>
              <w:top w:val="single" w:sz="4" w:space="0" w:color="000000"/>
              <w:left w:val="single" w:sz="4" w:space="0" w:color="000000"/>
              <w:bottom w:val="single" w:sz="4" w:space="0" w:color="000000"/>
              <w:right w:val="single" w:sz="4" w:space="0" w:color="000000"/>
            </w:tcBorders>
          </w:tcPr>
          <w:p w14:paraId="68E7C888" w14:textId="77777777" w:rsidR="00A76AD3" w:rsidRDefault="008275FF">
            <w:pPr>
              <w:spacing w:after="0" w:line="259" w:lineRule="auto"/>
              <w:ind w:left="9" w:right="0" w:firstLine="0"/>
              <w:jc w:val="left"/>
            </w:pPr>
            <w:r>
              <w:rPr>
                <w:sz w:val="16"/>
              </w:rPr>
              <w:t>Gemma-2</w:t>
            </w:r>
            <w:r>
              <w:t xml:space="preserve"> </w:t>
            </w:r>
          </w:p>
        </w:tc>
        <w:tc>
          <w:tcPr>
            <w:tcW w:w="1286" w:type="dxa"/>
            <w:tcBorders>
              <w:top w:val="single" w:sz="4" w:space="0" w:color="000000"/>
              <w:left w:val="single" w:sz="4" w:space="0" w:color="000000"/>
              <w:bottom w:val="single" w:sz="4" w:space="0" w:color="000000"/>
              <w:right w:val="single" w:sz="4" w:space="0" w:color="000000"/>
            </w:tcBorders>
          </w:tcPr>
          <w:p w14:paraId="1F04EF3C" w14:textId="77777777" w:rsidR="00A76AD3" w:rsidRDefault="008275FF">
            <w:pPr>
              <w:spacing w:after="0" w:line="259" w:lineRule="auto"/>
              <w:ind w:left="12" w:right="19" w:firstLine="0"/>
              <w:jc w:val="center"/>
            </w:pPr>
            <w:r>
              <w:rPr>
                <w:sz w:val="16"/>
              </w:rPr>
              <w:t>FS + process logs</w:t>
            </w:r>
            <w:r>
              <w:t xml:space="preserve"> </w:t>
            </w:r>
          </w:p>
        </w:tc>
        <w:tc>
          <w:tcPr>
            <w:tcW w:w="1099" w:type="dxa"/>
            <w:tcBorders>
              <w:top w:val="single" w:sz="4" w:space="0" w:color="000000"/>
              <w:left w:val="single" w:sz="4" w:space="0" w:color="000000"/>
              <w:bottom w:val="single" w:sz="4" w:space="0" w:color="000000"/>
              <w:right w:val="single" w:sz="4" w:space="0" w:color="000000"/>
            </w:tcBorders>
          </w:tcPr>
          <w:p w14:paraId="1B5AA4DE" w14:textId="77777777" w:rsidR="00A76AD3" w:rsidRDefault="008275FF">
            <w:pPr>
              <w:spacing w:after="0" w:line="259" w:lineRule="auto"/>
              <w:ind w:left="0" w:right="0" w:firstLine="0"/>
              <w:jc w:val="center"/>
            </w:pPr>
            <w:r>
              <w:rPr>
                <w:sz w:val="16"/>
              </w:rPr>
              <w:t>Ransomware score</w:t>
            </w:r>
            <w:r>
              <w:t xml:space="preserve"> </w:t>
            </w:r>
          </w:p>
        </w:tc>
      </w:tr>
      <w:tr w:rsidR="00A76AD3" w14:paraId="07C91604" w14:textId="77777777">
        <w:trPr>
          <w:trHeight w:val="499"/>
        </w:trPr>
        <w:tc>
          <w:tcPr>
            <w:tcW w:w="1195" w:type="dxa"/>
            <w:tcBorders>
              <w:top w:val="single" w:sz="4" w:space="0" w:color="000000"/>
              <w:left w:val="single" w:sz="4" w:space="0" w:color="000000"/>
              <w:bottom w:val="single" w:sz="4" w:space="0" w:color="000000"/>
              <w:right w:val="single" w:sz="4" w:space="0" w:color="000000"/>
            </w:tcBorders>
          </w:tcPr>
          <w:p w14:paraId="136E0447" w14:textId="77777777" w:rsidR="00A76AD3" w:rsidRDefault="008275FF">
            <w:pPr>
              <w:spacing w:after="0" w:line="259" w:lineRule="auto"/>
              <w:ind w:left="0" w:right="48" w:firstLine="0"/>
              <w:jc w:val="center"/>
            </w:pPr>
            <w:r>
              <w:rPr>
                <w:sz w:val="16"/>
              </w:rPr>
              <w:t>Classifier</w:t>
            </w:r>
            <w:r>
              <w:t xml:space="preserve"> </w:t>
            </w:r>
          </w:p>
        </w:tc>
        <w:tc>
          <w:tcPr>
            <w:tcW w:w="821" w:type="dxa"/>
            <w:tcBorders>
              <w:top w:val="single" w:sz="4" w:space="0" w:color="000000"/>
              <w:left w:val="single" w:sz="4" w:space="0" w:color="000000"/>
              <w:bottom w:val="single" w:sz="4" w:space="0" w:color="000000"/>
              <w:right w:val="single" w:sz="4" w:space="0" w:color="000000"/>
            </w:tcBorders>
          </w:tcPr>
          <w:p w14:paraId="7EA6C92B" w14:textId="77777777" w:rsidR="00A76AD3" w:rsidRDefault="008275FF">
            <w:pPr>
              <w:spacing w:after="0" w:line="259" w:lineRule="auto"/>
              <w:ind w:left="0" w:right="0" w:firstLine="0"/>
              <w:jc w:val="center"/>
            </w:pPr>
            <w:r>
              <w:rPr>
                <w:sz w:val="16"/>
              </w:rPr>
              <w:t>ATT&amp;CK KG</w:t>
            </w:r>
            <w:r>
              <w:t xml:space="preserve"> </w:t>
            </w:r>
          </w:p>
        </w:tc>
        <w:tc>
          <w:tcPr>
            <w:tcW w:w="1286" w:type="dxa"/>
            <w:tcBorders>
              <w:top w:val="single" w:sz="4" w:space="0" w:color="000000"/>
              <w:left w:val="single" w:sz="4" w:space="0" w:color="000000"/>
              <w:bottom w:val="single" w:sz="4" w:space="0" w:color="000000"/>
              <w:right w:val="single" w:sz="4" w:space="0" w:color="000000"/>
            </w:tcBorders>
          </w:tcPr>
          <w:p w14:paraId="5F806B5C" w14:textId="77777777" w:rsidR="00A76AD3" w:rsidRDefault="008275FF">
            <w:pPr>
              <w:spacing w:after="0" w:line="259" w:lineRule="auto"/>
              <w:ind w:left="0" w:right="0" w:firstLine="0"/>
              <w:jc w:val="center"/>
            </w:pPr>
            <w:r>
              <w:rPr>
                <w:sz w:val="16"/>
              </w:rPr>
              <w:t>LSA + BPD outputs</w:t>
            </w:r>
            <w:r>
              <w:t xml:space="preserve"> </w:t>
            </w:r>
          </w:p>
        </w:tc>
        <w:tc>
          <w:tcPr>
            <w:tcW w:w="1099" w:type="dxa"/>
            <w:tcBorders>
              <w:top w:val="single" w:sz="4" w:space="0" w:color="000000"/>
              <w:left w:val="single" w:sz="4" w:space="0" w:color="000000"/>
              <w:bottom w:val="single" w:sz="4" w:space="0" w:color="000000"/>
              <w:right w:val="single" w:sz="4" w:space="0" w:color="000000"/>
            </w:tcBorders>
          </w:tcPr>
          <w:p w14:paraId="5CA38242" w14:textId="77777777" w:rsidR="00A76AD3" w:rsidRDefault="008275FF">
            <w:pPr>
              <w:spacing w:after="0" w:line="259" w:lineRule="auto"/>
              <w:ind w:left="0" w:right="0" w:firstLine="0"/>
              <w:jc w:val="center"/>
            </w:pPr>
            <w:r>
              <w:rPr>
                <w:sz w:val="16"/>
              </w:rPr>
              <w:t>Correlated alerts</w:t>
            </w:r>
            <w:r>
              <w:t xml:space="preserve"> </w:t>
            </w:r>
          </w:p>
        </w:tc>
      </w:tr>
    </w:tbl>
    <w:p w14:paraId="485E4A7B" w14:textId="77777777" w:rsidR="00A76AD3" w:rsidRDefault="008275FF">
      <w:pPr>
        <w:spacing w:after="161" w:line="259" w:lineRule="auto"/>
        <w:ind w:left="0" w:right="0" w:firstLine="0"/>
        <w:jc w:val="left"/>
      </w:pPr>
      <w:r>
        <w:t xml:space="preserve"> </w:t>
      </w:r>
    </w:p>
    <w:p w14:paraId="645C1EE8" w14:textId="77777777" w:rsidR="00A76AD3" w:rsidRDefault="008275FF">
      <w:pPr>
        <w:pStyle w:val="Heading2"/>
        <w:ind w:left="195"/>
      </w:pPr>
      <w:r>
        <w:t>D.  ATT&amp;CK-Aligned Classification Module</w:t>
      </w:r>
      <w:r>
        <w:rPr>
          <w:i w:val="0"/>
        </w:rPr>
        <w:t xml:space="preserve"> </w:t>
      </w:r>
    </w:p>
    <w:p w14:paraId="3D1A9C66" w14:textId="77777777" w:rsidR="00A76AD3" w:rsidRDefault="008275FF">
      <w:pPr>
        <w:ind w:left="-5" w:right="0"/>
      </w:pPr>
      <w:r>
        <w:t>Outputs from the LSA and BPD converge in a classification module backed by a knowledge graph (KG) constructed from MITRE ATT&amp;CK v15 [11]. The graph encodes the tactic– technique–sub-technique hierarchy (for example, TA0008 → T1021 → T1021.001 for RDP-based late</w:t>
      </w:r>
      <w:r>
        <w:t xml:space="preserve">ral movement) along with known co-occurrence patterns between lateralmovement and ransomware techniques observed in published incident reports. Each technique node is annotated with its typical pre-conditions (required privileges, expected log artefacts) and post-conditions (subsequent techniques observed in real campaigns), so that the classification module can not only label individual events but also reason about plausible next steps. </w:t>
      </w:r>
    </w:p>
    <w:p w14:paraId="40EEC108" w14:textId="77777777" w:rsidR="00A76AD3" w:rsidRDefault="008275FF">
      <w:pPr>
        <w:ind w:left="-15" w:right="0" w:firstLine="200"/>
      </w:pPr>
      <w:r>
        <w:t>When both streams fire within a configurable correlation window—typic</w:t>
      </w:r>
      <w:r>
        <w:t>ally of the order of a few minutes—the module flags the event as a likely coordinated intrusion rather than two isolated anomalies. The correlation logic is intentionally conservative: it requires that the techniques reported by the two streams be linked by an edge in the ATT&amp;CK graph (for example, lateral movement via T1021 followed by ransomware staging via T1490 on the same host or on hosts in the same authentication trust zone). This prevents spurious correlations between unrelated events that happen to</w:t>
      </w:r>
      <w:r>
        <w:t xml:space="preserve"> occur close together in time, which we observed to be the principal source of false positives in earlier prototypes that used pure time-window correlation without graph constraints. </w:t>
      </w:r>
    </w:p>
    <w:p w14:paraId="227030CA" w14:textId="77777777" w:rsidR="00A76AD3" w:rsidRDefault="008275FF">
      <w:pPr>
        <w:spacing w:after="174"/>
        <w:ind w:left="-15" w:right="0" w:firstLine="200"/>
      </w:pPr>
      <w:r>
        <w:lastRenderedPageBreak/>
        <w:t xml:space="preserve">For predictive capability, the module queries the knowledge graph for the most likely next techniques given the sequence of ATT&amp;CK techniques observed so far— effectively turning detection into a lightweight form of threat hunting. Concretely, given an observed prefix </w:t>
      </w:r>
      <w:r>
        <w:rPr>
          <w:rFonts w:ascii="Cambria Math" w:eastAsia="Cambria Math" w:hAnsi="Cambria Math" w:cs="Cambria Math"/>
        </w:rPr>
        <w:t>⟨</w:t>
      </w:r>
      <w:r>
        <w:t>t₁, t₂, …, tₖ</w:t>
      </w:r>
      <w:r>
        <w:rPr>
          <w:rFonts w:ascii="Cambria Math" w:eastAsia="Cambria Math" w:hAnsi="Cambria Math" w:cs="Cambria Math"/>
        </w:rPr>
        <w:t>⟩</w:t>
      </w:r>
      <w:r>
        <w:t xml:space="preserve">, the module computes a ranked list of candidate next techniques by combining the empirical transition probabilities derived from public incident corpora with the structural constraints encoded in the ATT&amp;CK graph. The top-ranked candidates </w:t>
      </w:r>
      <w:r>
        <w:t xml:space="preserve">are surfaced to the analyst as proactive hunting hypotheses, together with the specific log queries that would confirm or refute them. </w:t>
      </w:r>
    </w:p>
    <w:p w14:paraId="450C89E7" w14:textId="77777777" w:rsidR="00A76AD3" w:rsidRDefault="008275FF">
      <w:pPr>
        <w:pStyle w:val="Heading2"/>
        <w:ind w:left="195"/>
      </w:pPr>
      <w:r>
        <w:t>E.  Training Data Construction and Label Engineering</w:t>
      </w:r>
      <w:r>
        <w:rPr>
          <w:i w:val="0"/>
        </w:rPr>
        <w:t xml:space="preserve"> </w:t>
      </w:r>
    </w:p>
    <w:p w14:paraId="0D133890" w14:textId="77777777" w:rsidR="00A76AD3" w:rsidRDefault="008275FF">
      <w:pPr>
        <w:ind w:left="-5" w:right="0"/>
      </w:pPr>
      <w:r>
        <w:t xml:space="preserve">The quality of EdgeShield's detections depends directly on the quality of the training data, and we have devoted considerable design effort to this aspect of the system. The training corpus is assembled from four sources: (i) public benchmark datasets such as DARPA OpTC and the LANL Unified Host and Network Dataset, which provide labelled red-team and benign telemetry; (ii) the SecKnowledge 2.0 corpus [7], which contributes pre-training mass and broad domain vocabulary; (iii) curated ransomware execution </w:t>
      </w:r>
      <w:r>
        <w:t xml:space="preserve">traces obtained by detonating recent malware samples in an isolated sandbox while recording file-system, process, and network telemetry; and (iv) a small but carefully designed set of synthetic adversarial sequences, generated by composing ATT&amp;CK procedures into novel orderings that do not appear in any public dataset. </w:t>
      </w:r>
    </w:p>
    <w:p w14:paraId="356DB764" w14:textId="77777777" w:rsidR="00A76AD3" w:rsidRDefault="008275FF">
      <w:pPr>
        <w:ind w:left="-15" w:right="0" w:firstLine="200"/>
      </w:pPr>
      <w:r>
        <w:t>Label engineering is performed at three levels of granularity, from coarse to fine. At the coarsest level, each event window is given a binary label (benign versus malicious). At the interme</w:t>
      </w:r>
      <w:r>
        <w:t>diate level, malicious windows are labelled with their ATT&amp;CK tactic identifier (for example, TA0008 for lateral movement, TA0040 for impact). At the finest level, malicious windows are additionally labelled with the most specific applicable technique and sub-technique (for example, T1021.001 for RDP-based lateral movement). Each level is mutually consistent—a fine-grained label implies the corresponding coarse-grained labels—so we can train the model to optimize a hierarchical loss that rewards correct pre</w:t>
      </w:r>
      <w:r>
        <w:t xml:space="preserve">dictions at every level rather than penalizing the model harshly for missing only the finest distinction. </w:t>
      </w:r>
    </w:p>
    <w:p w14:paraId="4D215151" w14:textId="77777777" w:rsidR="00A76AD3" w:rsidRDefault="008275FF">
      <w:pPr>
        <w:ind w:left="-15" w:right="0" w:firstLine="200"/>
      </w:pPr>
      <w:r>
        <w:t>Class imbalance is a recurring difficulty in security datasets, since benign activity vastly outnumbers attack activity even in red-team exercises. We address this in three ways: (i) we apply weighted sampling so that</w:t>
      </w:r>
      <w:r>
        <w:t xml:space="preserve"> each minibatch contains a roughly balanced mixture of benign and malicious windows; (ii) we apply focal loss with γ = 2 to reduce the contribution of easy-to-classify benign examples and concentrate gradient updates on the hard cases; and (iii) we augment minority classes by perturbing timestamps, host identifiers, and process arguments in attack traces, generating multiple synthetic variants of each ground-truth attack window. The augmentation process preserves the structural pattern that makes a window m</w:t>
      </w:r>
      <w:r>
        <w:t xml:space="preserve">alicious while varying surfacelevel details that should be irrelevant to the classification, which we have found makes the model substantially more robust to small variations in attacker tradecraft. </w:t>
      </w:r>
    </w:p>
    <w:p w14:paraId="1239700A" w14:textId="77777777" w:rsidR="00A76AD3" w:rsidRDefault="008275FF">
      <w:pPr>
        <w:spacing w:after="260"/>
        <w:ind w:left="-15" w:right="0" w:firstLine="200"/>
      </w:pPr>
      <w:r>
        <w:t xml:space="preserve">Labelling is performed by a combination of automated rules (when ATT&amp;CK technique mappings are available from dataset publishers) and manual review by domain experts. To </w:t>
      </w:r>
      <w:r>
        <w:t xml:space="preserve">ensure consistency we maintain a labelling guideline document that enumerates, for each technique we cover, the specific log signatures that justify the label and the specific look-alikes that do not. Two annotators independently label a held-out subset of windows and we compute Cohen's kappa as a quality check; we plan to release the labelling guidelines together with the trained models so that other groups can reproduce or extend our work. </w:t>
      </w:r>
    </w:p>
    <w:p w14:paraId="408BDA6B" w14:textId="77777777" w:rsidR="00A76AD3" w:rsidRDefault="008275FF">
      <w:pPr>
        <w:pStyle w:val="Heading1"/>
        <w:ind w:right="53"/>
      </w:pPr>
      <w:r>
        <w:rPr>
          <w:sz w:val="20"/>
        </w:rPr>
        <w:t>IV.</w:t>
      </w:r>
      <w:r>
        <w:t xml:space="preserve">  </w:t>
      </w:r>
      <w:r>
        <w:rPr>
          <w:sz w:val="20"/>
        </w:rPr>
        <w:t>E</w:t>
      </w:r>
      <w:r>
        <w:t xml:space="preserve">DGE </w:t>
      </w:r>
      <w:r>
        <w:rPr>
          <w:sz w:val="20"/>
        </w:rPr>
        <w:t>D</w:t>
      </w:r>
      <w:r>
        <w:t xml:space="preserve">EPLOYMENT </w:t>
      </w:r>
      <w:r>
        <w:rPr>
          <w:sz w:val="20"/>
        </w:rPr>
        <w:t>S</w:t>
      </w:r>
      <w:r>
        <w:t>TRATEGY</w:t>
      </w:r>
      <w:r>
        <w:rPr>
          <w:sz w:val="20"/>
        </w:rPr>
        <w:t xml:space="preserve"> </w:t>
      </w:r>
    </w:p>
    <w:p w14:paraId="504709D8" w14:textId="77777777" w:rsidR="00A76AD3" w:rsidRDefault="008275FF">
      <w:pPr>
        <w:spacing w:after="173"/>
        <w:ind w:left="-5" w:right="0"/>
      </w:pPr>
      <w:r>
        <w:t>EdgeShield must run entirely on-premise, which means that no log data should ever leave the organization's network. This design constraint follows from two practical considerations. First, the volume of authentication and file-system telemetry produced by even a mid-sized enterprise is too large to ship efficiently to a cloud LLM API, both in raw bandwidth and in cost per inference call. Second, the data themselves— Kerberos tickets, NTLM hashes, file-access records on user docum</w:t>
      </w:r>
      <w:r>
        <w:t xml:space="preserve">ents—are exactly the categories of information that data-residency rules in healthcare, finance, and government most frequently restrict. A cloud-hosted LLM API is therefore not an option for our target deployments, and we instead need to compress our models aggressively enough to run them locally. </w:t>
      </w:r>
    </w:p>
    <w:p w14:paraId="50518E8A" w14:textId="77777777" w:rsidR="00A76AD3" w:rsidRDefault="008275FF">
      <w:pPr>
        <w:pStyle w:val="Heading2"/>
        <w:ind w:left="195"/>
      </w:pPr>
      <w:r>
        <w:t>A.  Quantization and Runtime</w:t>
      </w:r>
      <w:r>
        <w:rPr>
          <w:i w:val="0"/>
        </w:rPr>
        <w:t xml:space="preserve"> </w:t>
      </w:r>
    </w:p>
    <w:p w14:paraId="63D633A0" w14:textId="77777777" w:rsidR="00A76AD3" w:rsidRDefault="008275FF">
      <w:pPr>
        <w:spacing w:after="173"/>
        <w:ind w:left="-5" w:right="0"/>
      </w:pPr>
      <w:r>
        <w:t xml:space="preserve">Our deployment pipeline has three steps. First, we apply INT8 post-training quantization (PTQ) using the ONNX toolkit; this step shrinks each checkpoint by roughly seventyfive percent relative to the full-precision FP32 baseline, based on numbers reported for models of similar size [8], [9], and the accuracy drop typically stays within two percentage points of the full-precision baseline on our validation tasks. Second, we run inference through ONNX Runtime, which ships natively with Windows 10 and later </w:t>
      </w:r>
      <w:r>
        <w:t>and which automatically dispatches compute to whatever accelerator is available on the host—a discrete GPU, an integrated NPU on a recent Intel or AMD platform, or simply the CPU. Third, for sites that need an even smaller footprint, we use knowledge distillation from Phi-3 Medium (14B) into Phi-3 Mini (3.8B), or further into a TinyLlama-class 1.1B student model; this yields a model that fits comfortably in 4 GB of system RAM and runs acceptably on a low-power edge appliance, at the cost of some accuracy th</w:t>
      </w:r>
      <w:r>
        <w:t xml:space="preserve">at we expect to quantify in the planned evaluation. </w:t>
      </w:r>
    </w:p>
    <w:p w14:paraId="2B8765C1" w14:textId="77777777" w:rsidR="00A76AD3" w:rsidRDefault="008275FF">
      <w:pPr>
        <w:pStyle w:val="Heading2"/>
        <w:ind w:left="195"/>
      </w:pPr>
      <w:r>
        <w:t>B.  Latency and Throughput</w:t>
      </w:r>
      <w:r>
        <w:rPr>
          <w:i w:val="0"/>
        </w:rPr>
        <w:t xml:space="preserve"> </w:t>
      </w:r>
    </w:p>
    <w:p w14:paraId="045774C9" w14:textId="77777777" w:rsidR="00A76AD3" w:rsidRDefault="008275FF">
      <w:pPr>
        <w:spacing w:after="189"/>
        <w:ind w:left="-5" w:right="0"/>
      </w:pPr>
      <w:r>
        <w:t>How fast is fast enough? Published benchmarks for edge devices [9] show that quantized 2–4B-parameter models can run on a workstation-class Intel Core i7 with 16 GB of RAM in under 200 ms per 512-token window, and considerably faster when an integrated NPU is available. This gives the SOC plenty of room to work with, even without GPU acceleration, when log windows are batched at one-second intervals: on a typical mid-sized network we expect a steadystate load of a few hundred windows per second per ingest</w:t>
      </w:r>
      <w:r>
        <w:t xml:space="preserve">ion node, which is well within the throughput envelope of a single workstation. Table V summarizes the expected latency budget for one log window from ingestion to alert. </w:t>
      </w:r>
    </w:p>
    <w:p w14:paraId="2A27E411" w14:textId="77777777" w:rsidR="00A76AD3" w:rsidRDefault="008275FF">
      <w:pPr>
        <w:spacing w:after="0" w:line="259" w:lineRule="auto"/>
        <w:ind w:right="3"/>
        <w:jc w:val="center"/>
      </w:pPr>
      <w:r>
        <w:rPr>
          <w:sz w:val="16"/>
        </w:rPr>
        <w:t>TABLE V.   E</w:t>
      </w:r>
      <w:r>
        <w:rPr>
          <w:sz w:val="13"/>
        </w:rPr>
        <w:t xml:space="preserve">XPECTED </w:t>
      </w:r>
      <w:r>
        <w:rPr>
          <w:sz w:val="16"/>
        </w:rPr>
        <w:t>P</w:t>
      </w:r>
      <w:r>
        <w:rPr>
          <w:sz w:val="13"/>
        </w:rPr>
        <w:t>ER</w:t>
      </w:r>
      <w:r>
        <w:rPr>
          <w:sz w:val="16"/>
        </w:rPr>
        <w:t>-W</w:t>
      </w:r>
      <w:r>
        <w:rPr>
          <w:sz w:val="13"/>
        </w:rPr>
        <w:t xml:space="preserve">INDOW </w:t>
      </w:r>
      <w:r>
        <w:rPr>
          <w:sz w:val="16"/>
        </w:rPr>
        <w:t>L</w:t>
      </w:r>
      <w:r>
        <w:rPr>
          <w:sz w:val="13"/>
        </w:rPr>
        <w:t xml:space="preserve">ATENCY </w:t>
      </w:r>
      <w:r>
        <w:rPr>
          <w:sz w:val="16"/>
        </w:rPr>
        <w:t>B</w:t>
      </w:r>
      <w:r>
        <w:rPr>
          <w:sz w:val="13"/>
        </w:rPr>
        <w:t>UDGET</w:t>
      </w:r>
      <w:r>
        <w:t xml:space="preserve"> </w:t>
      </w:r>
    </w:p>
    <w:tbl>
      <w:tblPr>
        <w:tblStyle w:val="TableGrid"/>
        <w:tblW w:w="4402" w:type="dxa"/>
        <w:tblInd w:w="240" w:type="dxa"/>
        <w:tblCellMar>
          <w:top w:w="63" w:type="dxa"/>
          <w:left w:w="77" w:type="dxa"/>
          <w:bottom w:w="0" w:type="dxa"/>
          <w:right w:w="89" w:type="dxa"/>
        </w:tblCellMar>
        <w:tblLook w:val="04A0" w:firstRow="1" w:lastRow="0" w:firstColumn="1" w:lastColumn="0" w:noHBand="0" w:noVBand="1"/>
      </w:tblPr>
      <w:tblGrid>
        <w:gridCol w:w="1700"/>
        <w:gridCol w:w="1200"/>
        <w:gridCol w:w="1502"/>
      </w:tblGrid>
      <w:tr w:rsidR="00A76AD3" w14:paraId="37F2B09C" w14:textId="77777777">
        <w:trPr>
          <w:trHeight w:val="317"/>
        </w:trPr>
        <w:tc>
          <w:tcPr>
            <w:tcW w:w="1699" w:type="dxa"/>
            <w:tcBorders>
              <w:top w:val="single" w:sz="4" w:space="0" w:color="000000"/>
              <w:left w:val="single" w:sz="4" w:space="0" w:color="000000"/>
              <w:bottom w:val="single" w:sz="4" w:space="0" w:color="000000"/>
              <w:right w:val="single" w:sz="4" w:space="0" w:color="000000"/>
            </w:tcBorders>
          </w:tcPr>
          <w:p w14:paraId="5765179F" w14:textId="77777777" w:rsidR="00A76AD3" w:rsidRDefault="008275FF">
            <w:pPr>
              <w:spacing w:after="0" w:line="259" w:lineRule="auto"/>
              <w:ind w:left="6" w:right="0" w:firstLine="0"/>
              <w:jc w:val="center"/>
            </w:pPr>
            <w:r>
              <w:rPr>
                <w:b/>
                <w:sz w:val="16"/>
              </w:rPr>
              <w:t>Stage</w:t>
            </w:r>
            <w:r>
              <w:t xml:space="preserve"> </w:t>
            </w:r>
          </w:p>
        </w:tc>
        <w:tc>
          <w:tcPr>
            <w:tcW w:w="1200" w:type="dxa"/>
            <w:tcBorders>
              <w:top w:val="single" w:sz="4" w:space="0" w:color="000000"/>
              <w:left w:val="single" w:sz="4" w:space="0" w:color="000000"/>
              <w:bottom w:val="single" w:sz="4" w:space="0" w:color="000000"/>
              <w:right w:val="single" w:sz="4" w:space="0" w:color="000000"/>
            </w:tcBorders>
          </w:tcPr>
          <w:p w14:paraId="5C48187C" w14:textId="77777777" w:rsidR="00A76AD3" w:rsidRDefault="008275FF">
            <w:pPr>
              <w:spacing w:after="0" w:line="259" w:lineRule="auto"/>
              <w:ind w:left="15" w:right="0" w:firstLine="0"/>
              <w:jc w:val="center"/>
            </w:pPr>
            <w:r>
              <w:rPr>
                <w:b/>
                <w:sz w:val="16"/>
              </w:rPr>
              <w:t>Latency (ms)</w:t>
            </w:r>
            <w:r>
              <w:t xml:space="preserve"> </w:t>
            </w:r>
          </w:p>
        </w:tc>
        <w:tc>
          <w:tcPr>
            <w:tcW w:w="1502" w:type="dxa"/>
            <w:tcBorders>
              <w:top w:val="single" w:sz="4" w:space="0" w:color="000000"/>
              <w:left w:val="single" w:sz="4" w:space="0" w:color="000000"/>
              <w:bottom w:val="single" w:sz="4" w:space="0" w:color="000000"/>
              <w:right w:val="single" w:sz="4" w:space="0" w:color="000000"/>
            </w:tcBorders>
          </w:tcPr>
          <w:p w14:paraId="54E03233" w14:textId="77777777" w:rsidR="00A76AD3" w:rsidRDefault="008275FF">
            <w:pPr>
              <w:spacing w:after="0" w:line="259" w:lineRule="auto"/>
              <w:ind w:left="13" w:right="0" w:firstLine="0"/>
              <w:jc w:val="center"/>
            </w:pPr>
            <w:r>
              <w:rPr>
                <w:b/>
                <w:sz w:val="16"/>
              </w:rPr>
              <w:t>Notes</w:t>
            </w:r>
            <w:r>
              <w:t xml:space="preserve"> </w:t>
            </w:r>
          </w:p>
        </w:tc>
      </w:tr>
      <w:tr w:rsidR="00A76AD3" w14:paraId="530CFFE6" w14:textId="77777777">
        <w:trPr>
          <w:trHeight w:val="499"/>
        </w:trPr>
        <w:tc>
          <w:tcPr>
            <w:tcW w:w="1699" w:type="dxa"/>
            <w:tcBorders>
              <w:top w:val="single" w:sz="4" w:space="0" w:color="000000"/>
              <w:left w:val="single" w:sz="4" w:space="0" w:color="000000"/>
              <w:bottom w:val="single" w:sz="4" w:space="0" w:color="000000"/>
              <w:right w:val="single" w:sz="4" w:space="0" w:color="000000"/>
            </w:tcBorders>
          </w:tcPr>
          <w:p w14:paraId="746E2197" w14:textId="77777777" w:rsidR="00A76AD3" w:rsidRDefault="008275FF">
            <w:pPr>
              <w:spacing w:after="0" w:line="259" w:lineRule="auto"/>
              <w:ind w:left="0" w:right="0" w:firstLine="0"/>
              <w:jc w:val="left"/>
            </w:pPr>
            <w:r>
              <w:rPr>
                <w:sz w:val="16"/>
              </w:rPr>
              <w:lastRenderedPageBreak/>
              <w:t>Ingestion + tokenization</w:t>
            </w:r>
            <w:r>
              <w:t xml:space="preserve"> </w:t>
            </w:r>
          </w:p>
        </w:tc>
        <w:tc>
          <w:tcPr>
            <w:tcW w:w="1200" w:type="dxa"/>
            <w:tcBorders>
              <w:top w:val="single" w:sz="4" w:space="0" w:color="000000"/>
              <w:left w:val="single" w:sz="4" w:space="0" w:color="000000"/>
              <w:bottom w:val="single" w:sz="4" w:space="0" w:color="000000"/>
              <w:right w:val="single" w:sz="4" w:space="0" w:color="000000"/>
            </w:tcBorders>
          </w:tcPr>
          <w:p w14:paraId="400BA4A7" w14:textId="77777777" w:rsidR="00A76AD3" w:rsidRDefault="008275FF">
            <w:pPr>
              <w:spacing w:after="0" w:line="259" w:lineRule="auto"/>
              <w:ind w:left="15" w:right="0" w:firstLine="0"/>
              <w:jc w:val="center"/>
            </w:pPr>
            <w:r>
              <w:rPr>
                <w:sz w:val="16"/>
              </w:rPr>
              <w:t>~15</w:t>
            </w:r>
            <w:r>
              <w:t xml:space="preserve"> </w:t>
            </w:r>
          </w:p>
        </w:tc>
        <w:tc>
          <w:tcPr>
            <w:tcW w:w="1502" w:type="dxa"/>
            <w:tcBorders>
              <w:top w:val="single" w:sz="4" w:space="0" w:color="000000"/>
              <w:left w:val="single" w:sz="4" w:space="0" w:color="000000"/>
              <w:bottom w:val="single" w:sz="4" w:space="0" w:color="000000"/>
              <w:right w:val="single" w:sz="4" w:space="0" w:color="000000"/>
            </w:tcBorders>
          </w:tcPr>
          <w:p w14:paraId="19B86BD1" w14:textId="77777777" w:rsidR="00A76AD3" w:rsidRDefault="008275FF">
            <w:pPr>
              <w:spacing w:after="0" w:line="259" w:lineRule="auto"/>
              <w:ind w:left="13" w:right="0" w:firstLine="0"/>
              <w:jc w:val="center"/>
            </w:pPr>
            <w:r>
              <w:rPr>
                <w:sz w:val="16"/>
              </w:rPr>
              <w:t>CPU, vectorized</w:t>
            </w:r>
            <w:r>
              <w:t xml:space="preserve"> </w:t>
            </w:r>
          </w:p>
        </w:tc>
      </w:tr>
      <w:tr w:rsidR="00A76AD3" w14:paraId="06B4F837" w14:textId="77777777">
        <w:trPr>
          <w:trHeight w:val="494"/>
        </w:trPr>
        <w:tc>
          <w:tcPr>
            <w:tcW w:w="1699" w:type="dxa"/>
            <w:tcBorders>
              <w:top w:val="single" w:sz="4" w:space="0" w:color="000000"/>
              <w:left w:val="single" w:sz="4" w:space="0" w:color="000000"/>
              <w:bottom w:val="single" w:sz="4" w:space="0" w:color="000000"/>
              <w:right w:val="single" w:sz="4" w:space="0" w:color="000000"/>
            </w:tcBorders>
          </w:tcPr>
          <w:p w14:paraId="34C205A1" w14:textId="77777777" w:rsidR="00A76AD3" w:rsidRDefault="008275FF">
            <w:pPr>
              <w:spacing w:after="0" w:line="259" w:lineRule="auto"/>
              <w:ind w:left="0" w:right="0" w:firstLine="0"/>
              <w:jc w:val="left"/>
            </w:pPr>
            <w:r>
              <w:rPr>
                <w:sz w:val="16"/>
              </w:rPr>
              <w:t>LSA forward pass (INT8)</w:t>
            </w:r>
            <w:r>
              <w:t xml:space="preserve"> </w:t>
            </w:r>
          </w:p>
        </w:tc>
        <w:tc>
          <w:tcPr>
            <w:tcW w:w="1200" w:type="dxa"/>
            <w:tcBorders>
              <w:top w:val="single" w:sz="4" w:space="0" w:color="000000"/>
              <w:left w:val="single" w:sz="4" w:space="0" w:color="000000"/>
              <w:bottom w:val="single" w:sz="4" w:space="0" w:color="000000"/>
              <w:right w:val="single" w:sz="4" w:space="0" w:color="000000"/>
            </w:tcBorders>
          </w:tcPr>
          <w:p w14:paraId="125EBA9F" w14:textId="77777777" w:rsidR="00A76AD3" w:rsidRDefault="008275FF">
            <w:pPr>
              <w:spacing w:after="0" w:line="259" w:lineRule="auto"/>
              <w:ind w:left="15" w:right="0" w:firstLine="0"/>
              <w:jc w:val="center"/>
            </w:pPr>
            <w:r>
              <w:rPr>
                <w:sz w:val="16"/>
              </w:rPr>
              <w:t>~150</w:t>
            </w:r>
            <w:r>
              <w:t xml:space="preserve"> </w:t>
            </w:r>
          </w:p>
        </w:tc>
        <w:tc>
          <w:tcPr>
            <w:tcW w:w="1502" w:type="dxa"/>
            <w:tcBorders>
              <w:top w:val="single" w:sz="4" w:space="0" w:color="000000"/>
              <w:left w:val="single" w:sz="4" w:space="0" w:color="000000"/>
              <w:bottom w:val="single" w:sz="4" w:space="0" w:color="000000"/>
              <w:right w:val="single" w:sz="4" w:space="0" w:color="000000"/>
            </w:tcBorders>
          </w:tcPr>
          <w:p w14:paraId="572A2407" w14:textId="77777777" w:rsidR="00A76AD3" w:rsidRDefault="008275FF">
            <w:pPr>
              <w:spacing w:after="0" w:line="259" w:lineRule="auto"/>
              <w:ind w:left="12" w:right="0" w:firstLine="0"/>
              <w:jc w:val="center"/>
            </w:pPr>
            <w:r>
              <w:rPr>
                <w:sz w:val="16"/>
              </w:rPr>
              <w:t>Phi-3 Mini, CPU</w:t>
            </w:r>
            <w:r>
              <w:t xml:space="preserve"> </w:t>
            </w:r>
          </w:p>
        </w:tc>
      </w:tr>
      <w:tr w:rsidR="00A76AD3" w14:paraId="57D9C114" w14:textId="77777777">
        <w:trPr>
          <w:trHeight w:val="499"/>
        </w:trPr>
        <w:tc>
          <w:tcPr>
            <w:tcW w:w="1699" w:type="dxa"/>
            <w:tcBorders>
              <w:top w:val="single" w:sz="4" w:space="0" w:color="000000"/>
              <w:left w:val="single" w:sz="4" w:space="0" w:color="000000"/>
              <w:bottom w:val="single" w:sz="4" w:space="0" w:color="000000"/>
              <w:right w:val="single" w:sz="4" w:space="0" w:color="000000"/>
            </w:tcBorders>
          </w:tcPr>
          <w:p w14:paraId="67A2F706" w14:textId="77777777" w:rsidR="00A76AD3" w:rsidRDefault="008275FF">
            <w:pPr>
              <w:spacing w:after="0" w:line="259" w:lineRule="auto"/>
              <w:ind w:left="0" w:right="0" w:firstLine="0"/>
              <w:jc w:val="left"/>
            </w:pPr>
            <w:r>
              <w:rPr>
                <w:sz w:val="16"/>
              </w:rPr>
              <w:t>BPD forward pass (INT8)</w:t>
            </w:r>
            <w:r>
              <w:t xml:space="preserve"> </w:t>
            </w:r>
          </w:p>
        </w:tc>
        <w:tc>
          <w:tcPr>
            <w:tcW w:w="1200" w:type="dxa"/>
            <w:tcBorders>
              <w:top w:val="single" w:sz="4" w:space="0" w:color="000000"/>
              <w:left w:val="single" w:sz="4" w:space="0" w:color="000000"/>
              <w:bottom w:val="single" w:sz="4" w:space="0" w:color="000000"/>
              <w:right w:val="single" w:sz="4" w:space="0" w:color="000000"/>
            </w:tcBorders>
          </w:tcPr>
          <w:p w14:paraId="71EB7EFD" w14:textId="77777777" w:rsidR="00A76AD3" w:rsidRDefault="008275FF">
            <w:pPr>
              <w:spacing w:after="0" w:line="259" w:lineRule="auto"/>
              <w:ind w:left="15" w:right="0" w:firstLine="0"/>
              <w:jc w:val="center"/>
            </w:pPr>
            <w:r>
              <w:rPr>
                <w:sz w:val="16"/>
              </w:rPr>
              <w:t>~110</w:t>
            </w:r>
            <w:r>
              <w:t xml:space="preserve"> </w:t>
            </w:r>
          </w:p>
        </w:tc>
        <w:tc>
          <w:tcPr>
            <w:tcW w:w="1502" w:type="dxa"/>
            <w:tcBorders>
              <w:top w:val="single" w:sz="4" w:space="0" w:color="000000"/>
              <w:left w:val="single" w:sz="4" w:space="0" w:color="000000"/>
              <w:bottom w:val="single" w:sz="4" w:space="0" w:color="000000"/>
              <w:right w:val="single" w:sz="4" w:space="0" w:color="000000"/>
            </w:tcBorders>
          </w:tcPr>
          <w:p w14:paraId="727399A2" w14:textId="77777777" w:rsidR="00A76AD3" w:rsidRDefault="008275FF">
            <w:pPr>
              <w:spacing w:after="0" w:line="259" w:lineRule="auto"/>
              <w:ind w:left="12" w:right="0" w:firstLine="0"/>
              <w:jc w:val="center"/>
            </w:pPr>
            <w:r>
              <w:rPr>
                <w:sz w:val="16"/>
              </w:rPr>
              <w:t>Gemma-2, CPU</w:t>
            </w:r>
            <w:r>
              <w:t xml:space="preserve"> </w:t>
            </w:r>
          </w:p>
        </w:tc>
      </w:tr>
      <w:tr w:rsidR="00A76AD3" w14:paraId="0A980B7F" w14:textId="77777777">
        <w:trPr>
          <w:trHeight w:val="312"/>
        </w:trPr>
        <w:tc>
          <w:tcPr>
            <w:tcW w:w="1699" w:type="dxa"/>
            <w:tcBorders>
              <w:top w:val="single" w:sz="4" w:space="0" w:color="000000"/>
              <w:left w:val="single" w:sz="4" w:space="0" w:color="000000"/>
              <w:bottom w:val="single" w:sz="4" w:space="0" w:color="000000"/>
              <w:right w:val="single" w:sz="4" w:space="0" w:color="000000"/>
            </w:tcBorders>
          </w:tcPr>
          <w:p w14:paraId="57D10564" w14:textId="77777777" w:rsidR="00A76AD3" w:rsidRDefault="008275FF">
            <w:pPr>
              <w:spacing w:after="0" w:line="259" w:lineRule="auto"/>
              <w:ind w:left="0" w:right="0" w:firstLine="0"/>
              <w:jc w:val="left"/>
            </w:pPr>
            <w:r>
              <w:rPr>
                <w:sz w:val="16"/>
              </w:rPr>
              <w:t>ATT&amp;CK correlation</w:t>
            </w:r>
            <w:r>
              <w:t xml:space="preserve"> </w:t>
            </w:r>
          </w:p>
        </w:tc>
        <w:tc>
          <w:tcPr>
            <w:tcW w:w="1200" w:type="dxa"/>
            <w:tcBorders>
              <w:top w:val="single" w:sz="4" w:space="0" w:color="000000"/>
              <w:left w:val="single" w:sz="4" w:space="0" w:color="000000"/>
              <w:bottom w:val="single" w:sz="4" w:space="0" w:color="000000"/>
              <w:right w:val="single" w:sz="4" w:space="0" w:color="000000"/>
            </w:tcBorders>
          </w:tcPr>
          <w:p w14:paraId="08C8A11A" w14:textId="77777777" w:rsidR="00A76AD3" w:rsidRDefault="008275FF">
            <w:pPr>
              <w:spacing w:after="0" w:line="259" w:lineRule="auto"/>
              <w:ind w:left="15" w:right="0" w:firstLine="0"/>
              <w:jc w:val="center"/>
            </w:pPr>
            <w:r>
              <w:rPr>
                <w:sz w:val="16"/>
              </w:rPr>
              <w:t>~25</w:t>
            </w:r>
            <w:r>
              <w:t xml:space="preserve"> </w:t>
            </w:r>
          </w:p>
        </w:tc>
        <w:tc>
          <w:tcPr>
            <w:tcW w:w="1502" w:type="dxa"/>
            <w:tcBorders>
              <w:top w:val="single" w:sz="4" w:space="0" w:color="000000"/>
              <w:left w:val="single" w:sz="4" w:space="0" w:color="000000"/>
              <w:bottom w:val="single" w:sz="4" w:space="0" w:color="000000"/>
              <w:right w:val="single" w:sz="4" w:space="0" w:color="000000"/>
            </w:tcBorders>
          </w:tcPr>
          <w:p w14:paraId="13D918C5" w14:textId="77777777" w:rsidR="00A76AD3" w:rsidRDefault="008275FF">
            <w:pPr>
              <w:spacing w:after="0" w:line="259" w:lineRule="auto"/>
              <w:ind w:left="13" w:right="0" w:firstLine="0"/>
              <w:jc w:val="center"/>
            </w:pPr>
            <w:r>
              <w:rPr>
                <w:sz w:val="16"/>
              </w:rPr>
              <w:t>Graph lookup</w:t>
            </w:r>
            <w:r>
              <w:t xml:space="preserve"> </w:t>
            </w:r>
          </w:p>
        </w:tc>
      </w:tr>
      <w:tr w:rsidR="00A76AD3" w14:paraId="3B047F02" w14:textId="77777777">
        <w:trPr>
          <w:trHeight w:val="317"/>
        </w:trPr>
        <w:tc>
          <w:tcPr>
            <w:tcW w:w="1699" w:type="dxa"/>
            <w:tcBorders>
              <w:top w:val="single" w:sz="4" w:space="0" w:color="000000"/>
              <w:left w:val="single" w:sz="4" w:space="0" w:color="000000"/>
              <w:bottom w:val="single" w:sz="4" w:space="0" w:color="000000"/>
              <w:right w:val="single" w:sz="4" w:space="0" w:color="000000"/>
            </w:tcBorders>
          </w:tcPr>
          <w:p w14:paraId="05FDB705" w14:textId="77777777" w:rsidR="00A76AD3" w:rsidRDefault="008275FF">
            <w:pPr>
              <w:spacing w:after="0" w:line="259" w:lineRule="auto"/>
              <w:ind w:left="0" w:right="0" w:firstLine="0"/>
              <w:jc w:val="left"/>
            </w:pPr>
            <w:r>
              <w:rPr>
                <w:sz w:val="16"/>
              </w:rPr>
              <w:t>Alert dispatch</w:t>
            </w:r>
            <w:r>
              <w:t xml:space="preserve"> </w:t>
            </w:r>
          </w:p>
        </w:tc>
        <w:tc>
          <w:tcPr>
            <w:tcW w:w="1200" w:type="dxa"/>
            <w:tcBorders>
              <w:top w:val="single" w:sz="4" w:space="0" w:color="000000"/>
              <w:left w:val="single" w:sz="4" w:space="0" w:color="000000"/>
              <w:bottom w:val="single" w:sz="4" w:space="0" w:color="000000"/>
              <w:right w:val="single" w:sz="4" w:space="0" w:color="000000"/>
            </w:tcBorders>
          </w:tcPr>
          <w:p w14:paraId="7162F0E9" w14:textId="77777777" w:rsidR="00A76AD3" w:rsidRDefault="008275FF">
            <w:pPr>
              <w:spacing w:after="0" w:line="259" w:lineRule="auto"/>
              <w:ind w:left="15" w:right="0" w:firstLine="0"/>
              <w:jc w:val="center"/>
            </w:pPr>
            <w:r>
              <w:rPr>
                <w:sz w:val="16"/>
              </w:rPr>
              <w:t>~10</w:t>
            </w:r>
            <w:r>
              <w:t xml:space="preserve"> </w:t>
            </w:r>
          </w:p>
        </w:tc>
        <w:tc>
          <w:tcPr>
            <w:tcW w:w="1502" w:type="dxa"/>
            <w:tcBorders>
              <w:top w:val="single" w:sz="4" w:space="0" w:color="000000"/>
              <w:left w:val="single" w:sz="4" w:space="0" w:color="000000"/>
              <w:bottom w:val="single" w:sz="4" w:space="0" w:color="000000"/>
              <w:right w:val="single" w:sz="4" w:space="0" w:color="000000"/>
            </w:tcBorders>
          </w:tcPr>
          <w:p w14:paraId="7BC12063" w14:textId="77777777" w:rsidR="00A76AD3" w:rsidRDefault="008275FF">
            <w:pPr>
              <w:spacing w:after="0" w:line="259" w:lineRule="auto"/>
              <w:ind w:left="12" w:right="0" w:firstLine="0"/>
              <w:jc w:val="center"/>
            </w:pPr>
            <w:r>
              <w:rPr>
                <w:sz w:val="16"/>
              </w:rPr>
              <w:t>Local SIEM bus</w:t>
            </w:r>
            <w:r>
              <w:t xml:space="preserve"> </w:t>
            </w:r>
          </w:p>
        </w:tc>
      </w:tr>
      <w:tr w:rsidR="00A76AD3" w14:paraId="0ED3AA8D" w14:textId="77777777">
        <w:trPr>
          <w:trHeight w:val="312"/>
        </w:trPr>
        <w:tc>
          <w:tcPr>
            <w:tcW w:w="1699" w:type="dxa"/>
            <w:tcBorders>
              <w:top w:val="single" w:sz="4" w:space="0" w:color="000000"/>
              <w:left w:val="single" w:sz="4" w:space="0" w:color="000000"/>
              <w:bottom w:val="single" w:sz="4" w:space="0" w:color="000000"/>
              <w:right w:val="single" w:sz="4" w:space="0" w:color="000000"/>
            </w:tcBorders>
          </w:tcPr>
          <w:p w14:paraId="3689521C" w14:textId="77777777" w:rsidR="00A76AD3" w:rsidRDefault="008275FF">
            <w:pPr>
              <w:spacing w:after="0" w:line="259" w:lineRule="auto"/>
              <w:ind w:left="0" w:right="0" w:firstLine="0"/>
              <w:jc w:val="left"/>
            </w:pPr>
            <w:r>
              <w:rPr>
                <w:sz w:val="16"/>
              </w:rPr>
              <w:t>Total (worst case)</w:t>
            </w:r>
            <w:r>
              <w:t xml:space="preserve"> </w:t>
            </w:r>
          </w:p>
        </w:tc>
        <w:tc>
          <w:tcPr>
            <w:tcW w:w="1200" w:type="dxa"/>
            <w:tcBorders>
              <w:top w:val="single" w:sz="4" w:space="0" w:color="000000"/>
              <w:left w:val="single" w:sz="4" w:space="0" w:color="000000"/>
              <w:bottom w:val="single" w:sz="4" w:space="0" w:color="000000"/>
              <w:right w:val="single" w:sz="4" w:space="0" w:color="000000"/>
            </w:tcBorders>
          </w:tcPr>
          <w:p w14:paraId="4D1FC29B" w14:textId="77777777" w:rsidR="00A76AD3" w:rsidRDefault="008275FF">
            <w:pPr>
              <w:spacing w:after="0" w:line="259" w:lineRule="auto"/>
              <w:ind w:left="15" w:right="0" w:firstLine="0"/>
              <w:jc w:val="center"/>
            </w:pPr>
            <w:r>
              <w:rPr>
                <w:sz w:val="16"/>
              </w:rPr>
              <w:t>~310</w:t>
            </w:r>
            <w:r>
              <w:t xml:space="preserve"> </w:t>
            </w:r>
          </w:p>
        </w:tc>
        <w:tc>
          <w:tcPr>
            <w:tcW w:w="1502" w:type="dxa"/>
            <w:tcBorders>
              <w:top w:val="single" w:sz="4" w:space="0" w:color="000000"/>
              <w:left w:val="single" w:sz="4" w:space="0" w:color="000000"/>
              <w:bottom w:val="single" w:sz="4" w:space="0" w:color="000000"/>
              <w:right w:val="single" w:sz="4" w:space="0" w:color="000000"/>
            </w:tcBorders>
          </w:tcPr>
          <w:p w14:paraId="56798442" w14:textId="77777777" w:rsidR="00A76AD3" w:rsidRDefault="008275FF">
            <w:pPr>
              <w:spacing w:after="0" w:line="259" w:lineRule="auto"/>
              <w:ind w:left="13" w:right="0" w:firstLine="0"/>
              <w:jc w:val="center"/>
            </w:pPr>
            <w:r>
              <w:rPr>
                <w:sz w:val="16"/>
              </w:rPr>
              <w:t>Sub-second budget</w:t>
            </w:r>
            <w:r>
              <w:t xml:space="preserve"> </w:t>
            </w:r>
          </w:p>
        </w:tc>
      </w:tr>
    </w:tbl>
    <w:p w14:paraId="69429D24" w14:textId="77777777" w:rsidR="00A76AD3" w:rsidRDefault="008275FF">
      <w:pPr>
        <w:spacing w:after="0" w:line="259" w:lineRule="auto"/>
        <w:ind w:left="0" w:right="0" w:firstLine="0"/>
        <w:jc w:val="left"/>
      </w:pPr>
      <w:r>
        <w:t xml:space="preserve"> </w:t>
      </w:r>
    </w:p>
    <w:p w14:paraId="3B935794" w14:textId="77777777" w:rsidR="00A76AD3" w:rsidRDefault="008275FF">
      <w:pPr>
        <w:pStyle w:val="Heading2"/>
        <w:ind w:left="195"/>
      </w:pPr>
      <w:r>
        <w:t>C.  Hardware Tiers and Privacy Posture</w:t>
      </w:r>
      <w:r>
        <w:rPr>
          <w:i w:val="0"/>
        </w:rPr>
        <w:t xml:space="preserve"> </w:t>
      </w:r>
    </w:p>
    <w:p w14:paraId="1E939904" w14:textId="77777777" w:rsidR="00A76AD3" w:rsidRDefault="008275FF">
      <w:pPr>
        <w:ind w:left="-5" w:right="0"/>
      </w:pPr>
      <w:r>
        <w:t xml:space="preserve">Running inference locally also fits naturally with the principle of zero trust. Sensitive authentication logs, Kerberos tickets, and file-access records never traverse an external API, which substantially simplifies compliance with data-residency rules that are becoming increasingly common in regulated industries. Three deployment tiers make sense in practice. A workstation-class tier runs both SLMs side by side on a single Intel/AMD x86 box with 16–32 GB of RAM, which is </w:t>
      </w:r>
    </w:p>
    <w:p w14:paraId="1F61F689" w14:textId="77777777" w:rsidR="00A76AD3" w:rsidRDefault="008275FF">
      <w:pPr>
        <w:spacing w:after="173"/>
        <w:ind w:left="-5" w:right="0"/>
      </w:pPr>
      <w:r>
        <w:t>appropriate for branch offices and small enterprises. A serverclass tier runs the same models on a rack-mounted node with an entry-level GPU or NPU accelerator, allowing higher throughput for medium-sized enterprises. A distilled tier replaces Phi-3 Mini with a TinyLlama-class student model, allowing deployment on a small appliance with as little as 4 GB of RAM—adequate for IoT gateway scenarios at the cost of reduced detection accuracy. In all three tiers, no telemetry leaves the organizational perimeter.</w:t>
      </w:r>
      <w:r>
        <w:t xml:space="preserve"> </w:t>
      </w:r>
    </w:p>
    <w:p w14:paraId="0C3BB592" w14:textId="77777777" w:rsidR="00A76AD3" w:rsidRDefault="008275FF">
      <w:pPr>
        <w:pStyle w:val="Heading2"/>
        <w:ind w:left="195"/>
      </w:pPr>
      <w:r>
        <w:t>D.  Operational Integration with the SOC Workflow</w:t>
      </w:r>
      <w:r>
        <w:rPr>
          <w:i w:val="0"/>
        </w:rPr>
        <w:t xml:space="preserve"> </w:t>
      </w:r>
    </w:p>
    <w:p w14:paraId="69B166AC" w14:textId="77777777" w:rsidR="00A76AD3" w:rsidRDefault="008275FF">
      <w:pPr>
        <w:spacing w:after="182"/>
        <w:ind w:left="-5" w:right="0"/>
      </w:pPr>
      <w:r>
        <w:t>EdgeShield is designed to drop into existing SOC infrastructure rather than replace it. Fig. 4 illustrates the integration. At the bottom, agents installed on workstations, domain controllers, and file servers forward Windows Event Logs, Sysmon telemetry, NTFS USN journal entries, and NetFlow records to the EdgeShield inference node. The inference node runs the LSA, the BPD, and the ATT&amp;CK correlator in a single process, producing alerts in standard formats (Common Event Format and STIX 2.1) that any mode</w:t>
      </w:r>
      <w:r>
        <w:t xml:space="preserve">rn SIEM can ingest natively. Deployments using Splunk, Microsoft Sentinel, or Elastic SIEM therefore require no custom parser development. </w:t>
      </w:r>
    </w:p>
    <w:p w14:paraId="55BCBD02" w14:textId="77777777" w:rsidR="00A76AD3" w:rsidRDefault="008275FF">
      <w:pPr>
        <w:spacing w:after="0" w:line="259" w:lineRule="auto"/>
        <w:ind w:left="0" w:right="718" w:firstLine="0"/>
        <w:jc w:val="right"/>
      </w:pPr>
      <w:r>
        <w:rPr>
          <w:noProof/>
        </w:rPr>
        <w:drawing>
          <wp:inline distT="0" distB="0" distL="0" distR="0" wp14:anchorId="1F201410" wp14:editId="2CAE70EC">
            <wp:extent cx="2190750" cy="1162050"/>
            <wp:effectExtent l="0" t="0" r="0" b="0"/>
            <wp:docPr id="2811" name="Picture 2811"/>
            <wp:cNvGraphicFramePr/>
            <a:graphic xmlns:a="http://schemas.openxmlformats.org/drawingml/2006/main">
              <a:graphicData uri="http://schemas.openxmlformats.org/drawingml/2006/picture">
                <pic:pic xmlns:pic="http://schemas.openxmlformats.org/drawingml/2006/picture">
                  <pic:nvPicPr>
                    <pic:cNvPr id="2811" name="Picture 2811"/>
                    <pic:cNvPicPr/>
                  </pic:nvPicPr>
                  <pic:blipFill>
                    <a:blip r:embed="rId8"/>
                    <a:stretch>
                      <a:fillRect/>
                    </a:stretch>
                  </pic:blipFill>
                  <pic:spPr>
                    <a:xfrm>
                      <a:off x="0" y="0"/>
                      <a:ext cx="2190750" cy="1162050"/>
                    </a:xfrm>
                    <a:prstGeom prst="rect">
                      <a:avLst/>
                    </a:prstGeom>
                  </pic:spPr>
                </pic:pic>
              </a:graphicData>
            </a:graphic>
          </wp:inline>
        </w:drawing>
      </w:r>
      <w:r>
        <w:t xml:space="preserve"> </w:t>
      </w:r>
    </w:p>
    <w:p w14:paraId="44ABDE7A" w14:textId="77777777" w:rsidR="00A76AD3" w:rsidRDefault="008275FF">
      <w:pPr>
        <w:spacing w:after="121" w:line="235" w:lineRule="auto"/>
        <w:ind w:left="434" w:right="0" w:hanging="424"/>
        <w:jc w:val="left"/>
      </w:pPr>
      <w:r>
        <w:rPr>
          <w:sz w:val="16"/>
        </w:rPr>
        <w:t>Fig. 4.  EdgeShield integrates with existing SIEM/SOAR infrastructure and supports an analyst-feedback loop that updates LoRA adapters incrementally.</w:t>
      </w:r>
      <w:r>
        <w:t xml:space="preserve"> </w:t>
      </w:r>
    </w:p>
    <w:p w14:paraId="1082C59D" w14:textId="77777777" w:rsidR="00A76AD3" w:rsidRDefault="008275FF">
      <w:pPr>
        <w:ind w:left="-15" w:right="0" w:firstLine="200"/>
      </w:pPr>
      <w:r>
        <w:t xml:space="preserve">Once an alert reaches the SIEM, normal enrichment, search, and dashboarding workflows continue unchanged. The SIEM forwards high-confidence alerts to a Security Orchestration, Automation, and Response (SOAR) platform, which executes pre-defined playbooks. Typical playbooks include host </w:t>
      </w:r>
      <w:r>
        <w:t xml:space="preserve">isolation via the EDR agent, revocation of issued Kerberos tickets, capture of a forensic memory snapshot, and notification of the on-call analyst. Because EdgeShield's alerts are technique-tagged, playbooks can branch on the specific technique reported—for example, escalating immediately on T1486 (Data Encrypted for Impact) while batching lower-severity techniques for end-of-shift review. </w:t>
      </w:r>
    </w:p>
    <w:p w14:paraId="03E3E2F8" w14:textId="77777777" w:rsidR="00A76AD3" w:rsidRDefault="008275FF">
      <w:pPr>
        <w:spacing w:after="259"/>
        <w:ind w:left="-15" w:right="0" w:firstLine="200"/>
      </w:pPr>
      <w:r>
        <w:t>The figure also illustrates a feedback loop from the analyst console back to the inference node. Whenever an analyst c</w:t>
      </w:r>
      <w:r>
        <w:t>onfirms a detection as a true positive or marks it as a false positive, the corresponding window is added to a queue of high-priority labelled examples. Once the queue exceeds a configurable threshold, the system retrains the relevant LoRA adapter on this new data and hot-swaps the updated adapter into the running model without requiring a full restart. This keeps EdgeShield's detection profile aligned with the operational reality of each individual deployment, addressing the well-known problem that detecti</w:t>
      </w:r>
      <w:r>
        <w:t xml:space="preserve">on rules tuned in a generic environment tend to drift out of calibration when deployed in production. </w:t>
      </w:r>
    </w:p>
    <w:p>
      <w:pPr>
        <w:pStyle w:val="Heading1"/>
      </w:pPr>
      <w:r>
        <w:t>V.  THEORETICAL FOUNDATIONS</w:t>
      </w:r>
    </w:p>
    <w:p>
      <w:pPr/>
      <w:r>
        <w:t>This section lays out the mathematical machinery behind EdgeShield’s classification and reasoning layers.  We cover the disentangled attention mechanism that drives the sequence classifier, the autoregressive objective used to train the generative reasoner, the LoRA adapters that keep fine-tuning affordable on edge hardware, and the auto-calibration loop that sizes the training workload for whatever device happens to be available.</w:t>
      </w:r>
    </w:p>
    <w:p>
      <w:pPr>
        <w:pStyle w:val="Heading2"/>
      </w:pPr>
      <w:r>
        <w:t>A.  Disentangled Attention in DeBERTa-v3</w:t>
      </w:r>
    </w:p>
    <w:p>
      <w:pPr/>
      <w:r>
        <w:t>For sequence classification EdgeShield builds on the DeBERTa architecture, which departs from standard BERT in one important way: it decouples content and positional information into two independent representation streams.  Classic self-attention computes a single embedding per token by summing its content vector with an absolute position embedding.  DeBERTa instead maintains a content vector H_i and a relative position vector P_{i|j} for every pair of tokens i and j.  The attention score between them becomes:</w:t>
      </w:r>
    </w:p>
    <w:p>
      <w:pPr/>
      <w:r>
        <w:t>Attn(i, j) = Q_i^c · (K_j^c)^T  +  Q_i^c · (K_{i,j}^p)^T  +  K_j^c · (Q_{j,i}^p)^T</w:t>
      </w:r>
    </w:p>
    <w:p>
      <w:pPr/>
      <w:r>
        <w:t>Why does this matter for security logs?  Consider a command line such as “wmic.exe /node:TARGET shadowcopy delete”.  The relative position of “/node:” after “wmic.exe” determines the execution semantics.  Decoupled attention lets the model learn that positional relationship directly, rather than encoding it implicitly through absolute indices that break whenever the surrounding log context changes length.  In practice this makes the classifier far better at generalising across syntactic variations in attacker commands.</w:t>
      </w:r>
    </w:p>
    <w:p>
      <w:pPr>
        <w:pStyle w:val="Heading2"/>
      </w:pPr>
      <w:r>
        <w:t>B.  Causal Language Modelling and Supervised Fine-Tuning</w:t>
      </w:r>
    </w:p>
    <w:p>
      <w:pPr/>
      <w:r>
        <w:t>The generative reasoner is an autoregressive transformer that models the probability of a token sequence T = (t_1, …, t_n) as a product of conditional next-token probabilities:</w:t>
      </w:r>
    </w:p>
    <w:p>
      <w:pPr/>
      <w:r>
        <w:t>P(T) = ∏_{k=1}^{n}  P(t_k | t_1, …, t_{k−1})</w:t>
      </w:r>
    </w:p>
    <w:p>
      <w:pPr/>
      <w:r>
        <w:t>During supervised fine-tuning the cross-entropy loss is computed only over the target completion tokens—the assistant’s structured JSON response block—while user and system prompt tokens are masked.  This forces the model’s causal state space to align with valid JSON schema elements while still permitting natural-language security explanations inside the reasoning fields.  The practical upshot is that the model learns to emit well-formed, parseable alerts rather than free-form text.</w:t>
      </w:r>
    </w:p>
    <w:p>
      <w:pPr>
        <w:pStyle w:val="Heading2"/>
      </w:pPr>
      <w:r>
        <w:t>C.  Parameter-Efficient Fine-Tuning with LoRA</w:t>
      </w:r>
    </w:p>
    <w:p>
      <w:pPr/>
      <w:r>
        <w:t>Full fine-tuning of a multi-billion-parameter model requires storing optimiser momentum states for every weight, which is prohibitively expensive on edge hardware.  Low-Rank Adaptation (LoRA) sidesteps this by freezing the original weight matrix W_0 ∈ ℝ^{d×k} and learning a low-rank update ΔW = (α/r) · B · A, where A ∈ ℝ^{r×k} and B ∈ ℝ^{d×r} with rank r ≪ min(d, k):</w:t>
      </w:r>
    </w:p>
    <w:p>
      <w:pPr/>
      <w:r>
        <w:t>W = W_0 + ΔW = W_0 + (α / r) · B · A</w:t>
      </w:r>
    </w:p>
    <w:p>
      <w:pPr/>
      <w:r>
        <w:t>We set r = 16 and α = 32, targeting all linear projections in the self-attention blocks.  This cuts the number of trainable parameters by more than 99 %, making it feasible to customise adapters on a standard workstation without any GPU.</w:t>
      </w:r>
    </w:p>
    <w:p>
      <w:pPr>
        <w:pStyle w:val="Heading2"/>
      </w:pPr>
      <w:r>
        <w:t>D.  Hardware-Aware Dynamic Calibration</w:t>
      </w:r>
    </w:p>
    <w:p>
      <w:pPr/>
      <w:r>
        <w:t>Edge training nodes vary enormously in compute power—from rack servers with discrete GPUs to modest office workstations running on CPU alone.  To cope with this spread the training pipeline includes an auto-calibration step.  Before training begins the script runs a brief profiling pass (a handful of forward–backward steps) to measure batch processing speed, then computes the largest dataset size that still guarantees completion within a user-specified time budget T_target:</w:t>
      </w:r>
    </w:p>
    <w:p>
      <w:pPr/>
      <w:r>
        <w:t>N_train = clamp(N_min,  ⌊(T_target · B) / (epochs · (t_train + γ · t_val))⌋ · C,  N_full)</w:t>
      </w:r>
    </w:p>
    <w:p>
      <w:pPr/>
      <w:r>
        <w:t>Here t_train and t_val are the measured forward–backward and evaluation durations per step, B is the batch size, γ is the validation-to-training ratio, C is a class-alignment constant that keeps label proportions intact after downsampling, and N_min is the floor below which training would not converge reliably.  The net effect is that every deployment gets as much training data as its hardware can handle within the allotted time, with no manual tuning required.</w:t>
      </w:r>
    </w:p>
    <w:p>
      <w:pPr>
        <w:pStyle w:val="Heading1"/>
      </w:pPr>
      <w:r>
        <w:t>VI.  EXPERIMENTAL RESULTS AND DISCUSSION</w:t>
      </w:r>
    </w:p>
    <w:p>
      <w:pPr/>
      <w:r>
        <w:t>This section outlines the evaluation flow that will be executed once the training runs are complete.  The metrics and figures below are structured as placeholders; final numbers will replace them after active training.</w:t>
      </w:r>
    </w:p>
    <w:p>
      <w:pPr>
        <w:pStyle w:val="Heading2"/>
      </w:pPr>
      <w:r>
        <w:t>A.  Sequence Classifier Optimisation</w:t>
      </w:r>
    </w:p>
    <w:p>
      <w:pPr/>
      <w:r>
        <w:t>The first validation step focuses on the DeBERTa-v3 classifier’s training convergence.  We will track cross-entropy loss on both training and validation splits across epochs, alongside per-class precision, recall, and F1.  A raw (untrained) DeBERTa-v3 baseline provides the lower bound; we expect its F1 to hover near random chance.  The fine-tuned model should show rapid loss decay and converge within three epochs, with false-positive rates (benign events misclassified as malicious) tracked separately.</w:t>
      </w:r>
    </w:p>
    <w:p>
      <w:pPr>
        <w:pStyle w:val="Heading2"/>
      </w:pPr>
      <w:r>
        <w:t>B.  Generative SFT Model Validation</w:t>
      </w:r>
    </w:p>
    <w:p>
      <w:pPr/>
      <w:r>
        <w:t>The causal reasoner (Qwen-2.5 or Phi-3 Mini) will be evaluated on two axes: structural correctness and semantic accuracy.  The JSON Schema Compliance Rate measures the fraction of outputs that parse as valid JSON without syntax errors.  MITRE ATT&amp;CK Mapping Accuracy compares predicted technique labels against ground-truth annotations in the held-out test partition.  Any parsing failures will be examined individually to identify formatting drift during generation.</w:t>
      </w:r>
    </w:p>
    <w:p>
      <w:pPr>
        <w:pStyle w:val="Heading2"/>
      </w:pPr>
      <w:r>
        <w:t>C.  Latency and Ingest Throughput</w:t>
      </w:r>
    </w:p>
    <w:p>
      <w:pPr/>
      <w:r>
        <w:t>A core promise of EdgeShield is fast inference at the network edge.  We will profile each component’s latency on both CPU (fallback) and GPU (accelerated) hardware, measuring end-to-end lookup latency—from log ingestion to final classification or reasoning alert—across a range of batch sizes.  The key claim to validate is that the lightweight DeBERTa classifier can screen out the bulk of benign logs in roughly 1 ms, triggering the heavier generative reasoner only for flagged events.</w:t>
      </w:r>
    </w:p>
    <w:p>
      <w:pPr>
        <w:pStyle w:val="Heading2"/>
      </w:pPr>
      <w:r>
        <w:t>D.  Memory Footprint and Operational Sizing</w:t>
      </w:r>
    </w:p>
    <w:p>
      <w:pPr/>
      <w:r>
        <w:t>We will log RAM and VRAM consumption during inference, breaking the total into static weight memory and dynamic Key-Value cache memory.  Sizing profiles will be produced for three quantisation levels (FP16, INT8, INT4), mapping out which hardware tier—workstation, server, or distilled appliance—each configuration requires.</w:t>
      </w:r>
    </w:p>
    <w:p>
      <w:pPr>
        <w:pStyle w:val="Heading1"/>
      </w:pPr>
      <w:r>
        <w:t>VII.  DISCUSSION, THREAT MODEL, AND LIMITATIONS</w:t>
      </w:r>
    </w:p>
    <w:p>
      <w:pPr>
        <w:pStyle w:val="Heading2"/>
      </w:pPr>
      <w:r>
        <w:t>A.  Model Selection</w:t>
      </w:r>
    </w:p>
    <w:p>
      <w:pPr/>
      <w:r>
        <w:t>CyberPal 2.0 [7] suggests that the 4B-parameter range hits a sweet spot for security tasks, but that conclusion rests on a broad SOC benchmark rather than lateral-movement or ransomware logs specifically.  Our planned next step is therefore a head-to-head comparison of Phi-3 Mini (3.8 B), Gemma-2 (2.6 B), and TinyLlama (1.1 B) on the DARPA OpTC and LANL datasets, supplemented with curated ransomware behavioural traces.  Until those numbers exist, model selection remains an open design decision; we have committed to the dual-stream architecture and the fine-tuning recipe but reserve the choice of backbone for the empirical phase.  We also intend to test whether mixing backbones across the two streams—for instance, Phi-3 Mini for the LSA and a smaller distilled student for the BPD—yields a better accuracy–latency trade-off than a single backbone for both.</w:t>
      </w:r>
    </w:p>
    <w:p>
      <w:pPr>
        <w:pStyle w:val="Heading2"/>
      </w:pPr>
      <w:r>
        <w:t>B.  Threat Model</w:t>
      </w:r>
    </w:p>
    <w:p>
      <w:pPr/>
      <w:r>
        <w:t>We assume an adversary who knows the EdgeShield architecture in detail: the choice of backbones, the constrained vocabulary of the BPD, the broad shape of the training data, and the deployment topology.  We do not assume direct access to the model weights, although we discuss the weight-extraction case as a worst-case scenario below.  Three classes of attack are considered.</w:t>
      </w:r>
    </w:p>
    <w:p>
      <w:pPr/>
      <w:r>
        <w:t>Evasion attacks try to craft sequences that look benign to the model.  Because the LSA’s tokeniser preserves identity-level fields, simply renaming hosts or rotating accounts is unlikely to succeed.  A more sophisticated attacker who paces lateral movement to mimic the timing distribution of legitimate administrative activity could, however, erode detection confidence.  We mitigate this by including such timing-perturbed traces as hard negatives during contrastive fine-tuning.</w:t>
      </w:r>
    </w:p>
    <w:p>
      <w:pPr/>
      <w:r>
        <w:t>Poisoning attacks aim to corrupt the training data so that the deployed model learns to overlook certain attack signatures.  EdgeShield’s training corpus draws primarily from public datasets (DARPA OpTC, LANL) and curated internal traces, so the dominant defence is upstream provenance control on the curated component.  We also plan to incorporate KL-divergence-based outlier detection between the fine-tuned model’s output distribution and an untainted baseline, flagging suspicious behavioural shifts after each retraining cycle.</w:t>
      </w:r>
    </w:p>
    <w:p>
      <w:pPr/>
      <w:r>
        <w:t>Recent adversarial-robustness work [15] tested 63 SLMs from 15 families against eight jailbreak methods and found nearly half to be highly vulnerable.  EdgeShield’s constrained vocabulary partially mitigates this—the model can only emit ATT&amp;CK labels, not free-form text—but a knowledgeable attacker could still craft log entries designed to suppress detection.  To counter this we plan adversarial training loops that inject poisoned log sequences during fine-tuning so that the model learns to flag rather than ignore them, plus runtime monitoring of embedding-space distance between new traces and the nearest training-time cluster as a tripwire for novel adversarial input.</w:t>
      </w:r>
    </w:p>
    <w:p>
      <w:pPr>
        <w:pStyle w:val="Heading2"/>
      </w:pPr>
      <w:r>
        <w:t>C.  Limitations</w:t>
      </w:r>
    </w:p>
    <w:p>
      <w:pPr/>
      <w:r>
        <w:t>We want to be upfront about several real limitations.  First, EdgeShield is still at the design stage; the latency, accuracy, and robustness numbers cited throughout this paper come from published benchmarks of similar models on similar tasks, not from a complete EdgeShield prototype.  Second, the dual-stream design assumes lateral movement and ransomware are the two highest-priority attack phases; an organisation primarily worried about espionage, supply-chain compromise, or insider threat would need to retrain or extend the framework substantially.  Third, the constrained-vocabulary BPD gains interpretability at the cost of expressiveness; a sufficiently novel ransomware family operating outside the curated vocabulary might evade detection until the vocabulary is updated.  Fourth, the ATT&amp;CK-aligned classification module depends on the public ATT&amp;CK graph, which is maintained by humans and can lag the threat landscape by months.</w:t>
      </w:r>
    </w:p>
    <w:p>
      <w:pPr>
        <w:pStyle w:val="Heading2"/>
      </w:pPr>
      <w:r>
        <w:t>D.  Ethical Considerations and Responsible Disclosure</w:t>
      </w:r>
    </w:p>
    <w:p>
      <w:pPr/>
      <w:r>
        <w:t>Detection systems like EdgeShield carry a dual-use risk: the same techniques that help defenders recognise lateral movement could, in principle, let attackers test their tradecraft against a known detector and iterate until evasion succeeds.  We have weighed this risk and concluded that open publication is the more responsible course, because the underlying detection signals (Windows event IDs, vssadmin invocation, mass file rename) are already extensively documented in defensive literature.  EdgeShield’s principal contribution is not the choice of signals but their integration with language-model reasoning, ATT&amp;CK alignment, and edge deployment.  Withholding that integration would not deny attackers any meaningful capability while it would substantially impair defenders’ ability to deploy better detection.</w:t>
      </w:r>
    </w:p>
    <w:p>
      <w:pPr/>
      <w:r>
        <w:t>During the empirical phase we will follow standard responsible-disclosure practices for any vulnerabilities or evasion techniques discovered while evaluating EdgeShield against current ransomware families.  Privacy considerations are built into the design from the outset: telemetry never leaves the organisational perimeter, the LoRA-adapter feedback mechanism stores no raw log data, and all examples retained for retraining are anonymised at the SID and hostname level before storage.  Where the system processes personal data within the meaning of applicable privacy regulations, deployments will be expected to apply the same data-protection controls (retention limits, access logging, purpose limitation) that they apply to other security tooling.</w:t>
      </w:r>
    </w:p>
    <w:p>
      <w:pPr>
        <w:pStyle w:val="Heading2"/>
      </w:pPr>
      <w:r>
        <w:t>E.  Future Work</w:t>
      </w:r>
    </w:p>
    <w:p>
      <w:pPr/>
      <w:r>
        <w:t>Beyond the empirical validation already described, we see three natural extensions.  First, federated learning across distributed edge nodes would let each site contribute gradient updates without centralising raw logs—important for multi-branch enterprises under heterogeneous regulatory regimes.  A federated EdgeShield would replace the central training pipeline with a secure aggregator that combines local LoRA updates while preserving differential privacy.</w:t>
      </w:r>
    </w:p>
    <w:p>
      <w:pPr/>
      <w:r>
        <w:t>Second, the same dual-stream architecture could accommodate additional ATT&amp;CK tactics; Initial Access (TA0001) and Exfiltration (TA0010) are the most obvious next targets, since they bracket the kill-chain segment that EdgeShield currently covers.  Third, we want to explore Retrieval-Augmented Generation (RAG) for the classification module: instead of baking all ATT&amp;CK knowledge into model weights, we could query an up-to-date knowledge graph at inference time, making the system much easier to maintain as MITRE publishes new technique IDs.  A RAG-based variant would also support per-deployment customisation, since each organisation could attach its own private corpus of incident reports and tune the retrieval index accordingly.</w:t>
      </w:r>
    </w:p>
    <w:p>
      <w:pPr>
        <w:pStyle w:val="Heading1"/>
      </w:pPr>
      <w:r>
        <w:t>VIII.  CONCLUSION</w:t>
      </w:r>
    </w:p>
    <w:p>
      <w:pPr/>
      <w:r>
        <w:t>We have presented EdgeShield, a dual-stream detection framework built on fine-tuned Small Language Models that spots lateral movement and ransomware activity directly at the network edge.  The Log Semantic Analyser handles authentication and Kerberos telemetry; the Behavioural Pattern Detector watches file-system and process events; and an ATT&amp;CK-aligned classifier ties both streams together so that coordinated, multi-stage intrusions surface as single, high-confidence alerts rather than isolated anomalies.  We described the tokeniser design, the two-phase fine-tuning recipe, the mathematical foundations of the classification and reasoning layers, the latency budget on commodity hardware, and the threat model under which the system is intended to operate.</w:t>
      </w:r>
    </w:p>
    <w:p>
      <w:pPr/>
      <w:r>
        <w:t>The framework is still at the design stage—empirical validation on the DARPA OpTC and LANL datasets, together with curated ransomware traces, is the immediate next step.  Nonetheless, the combination of published SLM benchmarks, successful industry deployments such as UpSight and Palo Alto, the maturity of the ONNX Runtime ecosystem on commodity hardware, and the practical benefits of edge-local inference together give us confidence that the approach is viable.  If the experimental results confirm what the design-time analysis suggests, EdgeShield could give SOCs a fast, private, and maintainable detection layer for two of the most damaging phases in the modern threat landscape—closing a gap that current signature-based and cloud-only approaches cannot fill alone.</w:t>
      </w:r>
    </w:p>
    <w:p>
      <w:pPr>
        <w:pStyle w:val="Heading1"/>
      </w:pPr>
      <w:r>
        <w:t>REFERENCES</w:t>
      </w:r>
    </w:p>
    <w:p>
      <w:pPr>
        <w:spacing w:after="40"/>
        <w:ind w:left="360" w:hanging="360"/>
      </w:pPr>
      <w:r>
        <w:t>[1]</w:t>
        <w:tab/>
        <w:t>M. Alghamdi et al., “MITRE ATT&amp;CK applications in cybersecurity and the way forward,” arXiv preprint arXiv:2502.10825, Feb. 2025.</w:t>
      </w:r>
    </w:p>
    <w:p>
      <w:pPr>
        <w:spacing w:after="40"/>
        <w:ind w:left="360" w:hanging="360"/>
      </w:pPr>
      <w:r>
        <w:t>[2]</w:t>
        <w:tab/>
        <w:t>A. Akhtar et al., “A comprehensive literature review on ransomware detection using deep learning,” Computer Science and Applications, vol. 2, 2024.</w:t>
      </w:r>
    </w:p>
    <w:p>
      <w:pPr>
        <w:spacing w:after="40"/>
        <w:ind w:left="360" w:hanging="360"/>
      </w:pPr>
      <w:r>
        <w:t>[3]</w:t>
        <w:tab/>
        <w:t>W. Li et al., “Exploring the role of large language models in cybersecurity: a systematic survey,” arXiv preprint arXiv:2504.15622, Apr. 2025.</w:t>
      </w:r>
    </w:p>
    <w:p>
      <w:pPr>
        <w:spacing w:after="40"/>
        <w:ind w:left="360" w:hanging="360"/>
      </w:pPr>
      <w:r>
        <w:t>[4]</w:t>
        <w:tab/>
        <w:t>C. Papageorgiou et al., “Leveraging large language models for scalable and explainable cybersecurity log analysis,” J. Cybersecurity and Privacy, vol. 5, no. 3, 2025.</w:t>
      </w:r>
    </w:p>
    <w:p>
      <w:pPr>
        <w:spacing w:after="40"/>
        <w:ind w:left="360" w:hanging="360"/>
      </w:pPr>
      <w:r>
        <w:t>[5]</w:t>
        <w:tab/>
        <w:t>A. Ferrag et al., “Harnessing the power of language models in cybersecurity: a comprehensive review,” J. Network and Computer Applications, 2024.</w:t>
      </w:r>
    </w:p>
    <w:p>
      <w:pPr>
        <w:spacing w:after="40"/>
        <w:ind w:left="360" w:hanging="360"/>
      </w:pPr>
      <w:r>
        <w:t>[6]</w:t>
        <w:tab/>
        <w:t>Z. Lu et al., “Small language models: survey, measurements, and insights,” arXiv preprint arXiv:2409.15790, Sep. 2024.</w:t>
      </w:r>
    </w:p>
    <w:p>
      <w:pPr>
        <w:spacing w:after="40"/>
        <w:ind w:left="360" w:hanging="360"/>
      </w:pPr>
      <w:r>
        <w:t>[7]</w:t>
        <w:tab/>
        <w:t>S. Tihanyi et al., “Toward cybersecurity-expert small language models,” arXiv preprint arXiv:2510.14113, Oct. 2025.</w:t>
      </w:r>
    </w:p>
    <w:p>
      <w:pPr>
        <w:spacing w:after="40"/>
        <w:ind w:left="360" w:hanging="360"/>
      </w:pPr>
      <w:r>
        <w:t>[8]</w:t>
        <w:tab/>
        <w:t>UpSight Security, “Small language models against ransomware,” UpSight AI, 2024. [Online]. Available: https://upsight.ai/small-language-models/</w:t>
      </w:r>
    </w:p>
    <w:p>
      <w:pPr>
        <w:spacing w:after="40"/>
        <w:ind w:left="360" w:hanging="360"/>
      </w:pPr>
      <w:r>
        <w:t>[9]</w:t>
        <w:tab/>
        <w:t>Z. Lu et al., “Demystifying small language models for edge deployment,” in Proc. ACL, Jul. 2025.</w:t>
      </w:r>
    </w:p>
    <w:p>
      <w:pPr>
        <w:spacing w:after="40"/>
        <w:ind w:left="360" w:hanging="360"/>
      </w:pPr>
      <w:r>
        <w:t>[10]</w:t>
        <w:tab/>
        <w:t>Palo Alto Networks, “How small language models are quietly revolutionizing cybersecurity,” Palo Alto Networks Community Blog, 2025.</w:t>
      </w:r>
    </w:p>
    <w:p>
      <w:pPr>
        <w:spacing w:after="40"/>
        <w:ind w:left="360" w:hanging="360"/>
      </w:pPr>
      <w:r>
        <w:t>[11]</w:t>
        <w:tab/>
        <w:t>MITRE Corporation, “Lateral movement, tactic TA0008,” MITRE ATT&amp;CK Enterprise. [Online]. Available: https://attack.mitre.org/tactics/TA0008/</w:t>
      </w:r>
    </w:p>
    <w:p>
      <w:pPr>
        <w:spacing w:after="40"/>
        <w:ind w:left="360" w:hanging="360"/>
      </w:pPr>
      <w:r>
        <w:t>[12]</w:t>
        <w:tab/>
        <w:t>B. Carvajal et al., “Detecting lateral movement: a systematic survey,” Heliyon, vol. 10, no. 4, p. e26317, 2024.</w:t>
      </w:r>
    </w:p>
    <w:p>
      <w:pPr>
        <w:spacing w:after="40"/>
        <w:ind w:left="360" w:hanging="360"/>
      </w:pPr>
      <w:r>
        <w:t>[13]</w:t>
        <w:tab/>
        <w:t>H. Chen et al., “Fuchikoma: NLP and neural network-based autonomous threat hunting,” in Proc. IEEE Symp. Security and Privacy, 2023.</w:t>
      </w:r>
    </w:p>
    <w:p>
      <w:pPr>
        <w:spacing w:after="40"/>
        <w:ind w:left="360" w:hanging="360"/>
      </w:pPr>
      <w:r>
        <w:t>[14]</w:t>
        <w:tab/>
        <w:t>S. Okada et al., “ATT&amp;CK technique extraction from Windows logs for lateral movement path identification,” in Proc. ACSAC, 2024.</w:t>
      </w:r>
    </w:p>
    <w:p>
      <w:pPr>
        <w:spacing w:after="40"/>
        <w:ind w:left="360" w:hanging="360"/>
      </w:pPr>
      <w:r>
        <w:t>[15]</w:t>
        <w:tab/>
        <w:t>Z. Lin et al., “Can small language models reliably resist jailbreak attacks? A comprehensive evaluation,” arXiv preprint arXiv:2503.06519, Mar. 2025.</w:t>
      </w:r>
    </w:p>
    <w:p>
      <w:pPr>
        <w:spacing w:after="40"/>
        <w:ind w:left="360" w:hanging="360"/>
      </w:pPr>
      <w:r>
        <w:t>[16]</w:t>
        <w:tab/>
        <w:t>C. Smiliotopoulos, G. Kambourakis, and K. Barmpatsalou, “On the detection of lateral movement through supervised machine learning and an open-source tool to create turnkey datasets from Sysmon logs,” Int. J. Information Security, vol. 22, pp. 1893–1919, 2023.</w:t>
      </w:r>
    </w:p>
    <w:p>
      <w:pPr>
        <w:spacing w:after="40"/>
        <w:ind w:left="360" w:hanging="360"/>
      </w:pPr>
      <w:r>
        <w:t>[17]</w:t>
        <w:tab/>
        <w:t>C. Smiliotopoulos, K. Barmpatsalou, and G. Kambourakis, “Revisiting the detection of lateral movement through Sysmon,” Applied Sciences, vol. 12, no. 15, p. 7746, 2022.</w:t>
      </w:r>
    </w:p>
    <w:sectPr w:rsidR="00A76AD3">
      <w:type w:val="continuous"/>
      <w:pgSz w:w="11906" w:h="16838"/>
      <w:pgMar w:top="549" w:right="879" w:bottom="1439" w:left="902" w:header="720" w:footer="720" w:gutter="0"/>
      <w:cols w:num="2" w:space="3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759BC"/>
    <w:multiLevelType w:val="hybridMultilevel"/>
    <w:tmpl w:val="00E81B08"/>
    <w:lvl w:ilvl="0" w:tplc="7E32CE9C">
      <w:start w:val="1"/>
      <w:numFmt w:val="decimal"/>
      <w:lvlText w:val="[%1]"/>
      <w:lvlJc w:val="left"/>
      <w:pPr>
        <w:ind w:left="37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BCD2495A">
      <w:start w:val="1"/>
      <w:numFmt w:val="lowerLetter"/>
      <w:lvlText w:val="%2"/>
      <w:lvlJc w:val="left"/>
      <w:pPr>
        <w:ind w:left="10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910E469E">
      <w:start w:val="1"/>
      <w:numFmt w:val="lowerRoman"/>
      <w:lvlText w:val="%3"/>
      <w:lvlJc w:val="left"/>
      <w:pPr>
        <w:ind w:left="18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A35A33C2">
      <w:start w:val="1"/>
      <w:numFmt w:val="decimal"/>
      <w:lvlText w:val="%4"/>
      <w:lvlJc w:val="left"/>
      <w:pPr>
        <w:ind w:left="25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21C00D50">
      <w:start w:val="1"/>
      <w:numFmt w:val="lowerLetter"/>
      <w:lvlText w:val="%5"/>
      <w:lvlJc w:val="left"/>
      <w:pPr>
        <w:ind w:left="32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00061EEA">
      <w:start w:val="1"/>
      <w:numFmt w:val="lowerRoman"/>
      <w:lvlText w:val="%6"/>
      <w:lvlJc w:val="left"/>
      <w:pPr>
        <w:ind w:left="39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75DE60AE">
      <w:start w:val="1"/>
      <w:numFmt w:val="decimal"/>
      <w:lvlText w:val="%7"/>
      <w:lvlJc w:val="left"/>
      <w:pPr>
        <w:ind w:left="46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68C022F2">
      <w:start w:val="1"/>
      <w:numFmt w:val="lowerLetter"/>
      <w:lvlText w:val="%8"/>
      <w:lvlJc w:val="left"/>
      <w:pPr>
        <w:ind w:left="54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220219B0">
      <w:start w:val="1"/>
      <w:numFmt w:val="lowerRoman"/>
      <w:lvlText w:val="%9"/>
      <w:lvlJc w:val="left"/>
      <w:pPr>
        <w:ind w:left="61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num w:numId="1" w16cid:durableId="543713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6AD3"/>
    <w:rsid w:val="00124A2B"/>
    <w:rsid w:val="001715F0"/>
    <w:rsid w:val="007279A9"/>
    <w:rsid w:val="007462A9"/>
    <w:rsid w:val="008275FF"/>
    <w:rsid w:val="00A76A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3A8CA"/>
  <w15:docId w15:val="{4FC38592-54F7-4F01-9E77-A5AAABDA0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7" w:lineRule="auto"/>
      <w:ind w:left="10" w:right="51"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103" w:line="259" w:lineRule="auto"/>
      <w:ind w:left="10" w:right="54" w:hanging="10"/>
      <w:jc w:val="center"/>
      <w:outlineLvl w:val="0"/>
    </w:pPr>
    <w:rPr>
      <w:rFonts w:ascii="Times New Roman" w:eastAsia="Times New Roman" w:hAnsi="Times New Roman" w:cs="Times New Roman"/>
      <w:color w:val="000000"/>
      <w:sz w:val="16"/>
    </w:rPr>
  </w:style>
  <w:style w:type="paragraph" w:styleId="Heading2">
    <w:name w:val="heading 2"/>
    <w:next w:val="Normal"/>
    <w:link w:val="Heading2Char"/>
    <w:uiPriority w:val="9"/>
    <w:unhideWhenUsed/>
    <w:qFormat/>
    <w:pPr>
      <w:keepNext/>
      <w:keepLines/>
      <w:spacing w:after="77" w:line="259" w:lineRule="auto"/>
      <w:ind w:left="210" w:hanging="10"/>
      <w:outlineLvl w:val="1"/>
    </w:pPr>
    <w:rPr>
      <w:rFonts w:ascii="Times New Roman" w:eastAsia="Times New Roman" w:hAnsi="Times New Roman" w:cs="Times New Roman"/>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i/>
      <w:color w:val="000000"/>
      <w:sz w:val="20"/>
    </w:rPr>
  </w:style>
  <w:style w:type="character" w:customStyle="1" w:styleId="Heading1Char">
    <w:name w:val="Heading 1 Char"/>
    <w:link w:val="Heading1"/>
    <w:rPr>
      <w:rFonts w:ascii="Times New Roman" w:eastAsia="Times New Roman" w:hAnsi="Times New Roman" w:cs="Times New Roman"/>
      <w:color w:val="000000"/>
      <w:sz w:val="1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7728</Words>
  <Characters>45959</Characters>
  <Application>Microsoft Office Word</Application>
  <DocSecurity>0</DocSecurity>
  <Lines>1174</Lines>
  <Paragraphs>318</Paragraphs>
  <ScaleCrop>false</ScaleCrop>
  <HeadingPairs>
    <vt:vector size="2" baseType="variant">
      <vt:variant>
        <vt:lpstr>Title</vt:lpstr>
      </vt:variant>
      <vt:variant>
        <vt:i4>1</vt:i4>
      </vt:variant>
    </vt:vector>
  </HeadingPairs>
  <TitlesOfParts>
    <vt:vector size="1" baseType="lpstr">
      <vt:lpstr>EdgeShield_v3</vt:lpstr>
    </vt:vector>
  </TitlesOfParts>
  <Company/>
  <LinksUpToDate>false</LinksUpToDate>
  <CharactersWithSpaces>53938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EdgeShield_v3</dc:title>
  <dc:subject/>
  <dc:creator>G R</dc:creator>
  <cp:keywords/>
  <dc:description/>
  <cp:lastModifiedBy>Gaurav Raval</cp:lastModifiedBy>
  <cp:revision>2</cp:revision>
  <dcterms:created xsi:type="dcterms:W3CDTF">2026-06-29T07:51:00Z</dcterms:created>
  <dcterms:modified xsi:type="dcterms:W3CDTF">2026-06-29T07:51:00Z</dcterms:modified>
</cp:coreProperties>
</file>