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Estudio</w:t>
      </w:r>
      <w:r>
        <w:t xml:space="preserve"> </w:t>
      </w:r>
      <w:r>
        <w:t xml:space="preserve">de</w:t>
      </w:r>
      <w:r>
        <w:t xml:space="preserve"> </w:t>
      </w:r>
      <w:r>
        <w:t xml:space="preserve">Caso:</w:t>
      </w:r>
      <w:r>
        <w:t xml:space="preserve"> </w:t>
      </w:r>
      <w:r>
        <w:t xml:space="preserve">RCEI</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costo medio descontado de por vida de 20.000 dólares y una esperanza de vida ajustada a la calidad de 70 años. El tratamiento con un único agente, retrociclovir 400 mg al día, tiene un costo medio descontado de por vida de 22.000 dólares y una esperanza de vida ajustada a la calidad de 65 años (dada la mayor incidencia de efectos secundarios con la dosis más alta). Otro fármaco, el centroflexavir (que sólo se presenta en una dosis de 250 mg/día) tiene un costo total medio de por vida de 10.000 dólares y una esperanza de vida ajustada por calidad de 50 años. La combinación de centroflexavir con dosis bajas de retrociclovir tiene un costo medio a lo largo de la vida de 40.000 dólares y una esperanza de vida media ajustada a la calidad de 80 años, mientras que la combinación de centroflexavir con dosis altas de retrociclovir tiene un costo medio a lo largo de la vida de 35.000 dólares y una esperanza de vida ajustada a la calidad de 75 años.</w:t>
      </w:r>
    </w:p>
    <w:p>
      <w:pPr>
        <w:pStyle w:val="BodyText"/>
      </w:pPr>
      <w:r>
        <w:t xml:space="preserve">También se dispone de nuevos antirretrovirales, cuyos costos y AVAC a lo largo de la vida se detallan a continuación:</w:t>
      </w:r>
    </w:p>
    <w:p>
      <w:pPr>
        <w:pStyle w:val="TableCaption"/>
      </w:pPr>
      <w:r>
        <w:t xml:space="preserve">Costos y Resultados AVAC de los ART</w:t>
      </w:r>
    </w:p>
    <w:tbl>
      <w:tblPr>
        <w:tblStyle w:val="Table"/>
        <w:tblW w:type="auto" w:w="0"/>
        <w:tblLook w:firstRow="1" w:lastRow="0" w:firstColumn="0" w:lastColumn="0" w:noHBand="0" w:noVBand="0" w:val="0020"/>
        <w:jc w:val="start"/>
        <w:tblCaption w:val="Costos y Resultados AVAC de los ART"/>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AVACs</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rPr>
          <w:iCs/>
          <w:i/>
        </w:rPr>
        <w:t xml:space="preserve">Realice un análisis costo-efectividad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AVACs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RCEI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RCEI Tabla 1</w:t>
      </w:r>
    </w:p>
    <w:tbl>
      <w:tblPr>
        <w:tblStyle w:val="Table"/>
        <w:tblW w:type="pct" w:w="5100"/>
        <w:tblLook w:firstRow="1" w:lastRow="0" w:firstColumn="0" w:lastColumn="0" w:noHBand="0" w:noVBand="0" w:val="0020"/>
        <w:jc w:val="start"/>
        <w:tblLayout w:type="fixed"/>
        <w:tblCaption w:val="Cálculo del RCEI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RCEI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RCEI Tabla 2</w:t>
      </w:r>
    </w:p>
    <w:tbl>
      <w:tblPr>
        <w:tblStyle w:val="Table"/>
        <w:tblW w:type="pct" w:w="5100"/>
        <w:tblLook w:firstRow="1" w:lastRow="0" w:firstColumn="0" w:lastColumn="0" w:noHBand="0" w:noVBand="0" w:val="0020"/>
        <w:jc w:val="start"/>
        <w:tblLayout w:type="fixed"/>
        <w:tblCaption w:val="Cálculo RCEI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RCEI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RCEI Tabla 3</w:t>
      </w:r>
    </w:p>
    <w:tbl>
      <w:tblPr>
        <w:tblStyle w:val="Table"/>
        <w:tblW w:type="pct" w:w="5100"/>
        <w:tblLook w:firstRow="1" w:lastRow="0" w:firstColumn="0" w:lastColumn="0" w:noHBand="0" w:noVBand="0" w:val="0020"/>
        <w:jc w:val="start"/>
        <w:tblLayout w:type="fixed"/>
        <w:tblCaption w:val="Cálculo RCEI Tabla 3"/>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RCEI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costo-efectividad de diferentes recomendaciones de tamizaje de lesiones intraepiteliales escamosas anales y cáncer anal en hombres.</w:t>
      </w:r>
    </w:p>
    <w:p>
      <w:pPr>
        <w:pStyle w:val="BodyText"/>
      </w:pPr>
      <w:r>
        <w:t xml:space="preserve">A continuación se muestra una tabla con los costos y los años de vida ajustados por calidad ganados asociados a diferentes estrategias de tamizaje en un periodo de tiempo de seis años.</w:t>
      </w:r>
    </w:p>
    <w:bookmarkStart w:id="25" w:name="instrucciones-1"/>
    <w:p>
      <w:pPr>
        <w:pStyle w:val="Heading2"/>
      </w:pPr>
      <w:r>
        <w:t xml:space="preserve">Instrucciones</w:t>
      </w:r>
    </w:p>
    <w:p>
      <w:pPr>
        <w:pStyle w:val="FirstParagraph"/>
      </w:pPr>
      <w:r>
        <w:rPr>
          <w:iCs/>
          <w:i/>
        </w:rPr>
        <w:t xml:space="preserve">Calcule las razones de costo-efectividad incrementales para cada estrategia y determine qué estrategia de tamizaje elegiría si, como responsable de la toma de decisiones, estuviera dispuesto a pagar $50.000/AVAC (utilizando años de vida ajustados por calidad descontados)</w:t>
      </w:r>
      <w:r>
        <w:t xml:space="preserve">.</w:t>
      </w:r>
    </w:p>
    <w:p>
      <w:pPr>
        <w:pStyle w:val="TableCaption"/>
      </w:pPr>
      <w:r>
        <w:t xml:space="preserve">Costos y Resultados AVAC, por estrategia</w:t>
      </w:r>
    </w:p>
    <w:tbl>
      <w:tblPr>
        <w:tblStyle w:val="Table"/>
        <w:tblW w:type="pct" w:w="5000"/>
        <w:tblLook w:firstRow="1" w:lastRow="0" w:firstColumn="0" w:lastColumn="0" w:noHBand="0" w:noVBand="0" w:val="0020"/>
        <w:jc w:val="start"/>
        <w:tblLayout w:type="fixed"/>
        <w:tblCaption w:val="Costos y Resultados AVAC, por estrategia"/>
      </w:tblPr>
      <w:tblGrid>
        <w:gridCol w:w="2677"/>
        <w:gridCol w:w="2007"/>
        <w:gridCol w:w="3234"/>
      </w:tblGrid>
      <w:tr>
        <w:trPr>
          <w:tblHeader w:val="true"/>
        </w:trPr>
        <w:tc>
          <w:tcPr/>
          <w:p>
            <w:pPr>
              <w:pStyle w:val="Compact"/>
              <w:jc w:val="left"/>
            </w:pPr>
            <w:r>
              <w:t xml:space="preserve">Estrategia de tamizaje</w:t>
            </w:r>
          </w:p>
        </w:tc>
        <w:tc>
          <w:tcPr/>
          <w:p>
            <w:pPr>
              <w:pStyle w:val="Compact"/>
              <w:jc w:val="left"/>
            </w:pPr>
            <w:r>
              <w:t xml:space="preserve">AVAC descontados</w:t>
            </w:r>
          </w:p>
        </w:tc>
        <w:tc>
          <w:tcPr/>
          <w:p>
            <w:pPr>
              <w:pStyle w:val="Compact"/>
              <w:jc w:val="left"/>
            </w:pPr>
            <w:r>
              <w:t xml:space="preserve">Costos descontados ($2022)</w:t>
            </w:r>
          </w:p>
        </w:tc>
      </w:tr>
      <w:tr>
        <w:tc>
          <w:tcPr/>
          <w:p>
            <w:pPr>
              <w:pStyle w:val="Compact"/>
              <w:jc w:val="left"/>
            </w:pPr>
            <w:r>
              <w:t xml:space="preserve">Sin Tamizaje</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Cada 3 años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Cada 2 años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Cada 1 años</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Cada seis meses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RCEI Tabla 1</w:t>
      </w:r>
    </w:p>
    <w:tbl>
      <w:tblPr>
        <w:tblStyle w:val="Table"/>
        <w:tblW w:type="pct" w:w="5100"/>
        <w:tblLook w:firstRow="1" w:lastRow="0" w:firstColumn="0" w:lastColumn="0" w:noHBand="0" w:noVBand="0" w:val="0020"/>
        <w:jc w:val="start"/>
        <w:tblLayout w:type="fixed"/>
        <w:tblCaption w:val="Cálculo del RCEI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RCEI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RCEI Tabla 2</w:t>
      </w:r>
    </w:p>
    <w:tbl>
      <w:tblPr>
        <w:tblStyle w:val="Table"/>
        <w:tblW w:type="pct" w:w="5100"/>
        <w:tblLook w:firstRow="1" w:lastRow="0" w:firstColumn="0" w:lastColumn="0" w:noHBand="0" w:noVBand="0" w:val="0020"/>
        <w:jc w:val="start"/>
        <w:tblLayout w:type="fixed"/>
        <w:tblCaption w:val="Cálculo RCEI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RCEI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Caso: RCEI</dc:title>
  <dc:creator/>
  <cp:keywords/>
  <dcterms:created xsi:type="dcterms:W3CDTF">2024-06-20T18:26:54Z</dcterms:created>
  <dcterms:modified xsi:type="dcterms:W3CDTF">2024-06-20T18:26:54Z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