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Case</w:t>
      </w:r>
      <w:r>
        <w:t xml:space="preserve"> </w:t>
      </w:r>
      <w:r>
        <w:t xml:space="preserve">Study:</w:t>
      </w:r>
      <w:r>
        <w:t xml:space="preserve"> </w:t>
      </w:r>
      <w:r>
        <w:t xml:space="preserve">ICERs</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1" name="Picture"/>
                  <a:graphic>
                    <a:graphicData uri="http://schemas.openxmlformats.org/drawingml/2006/picture">
                      <pic:pic>
                        <pic:nvPicPr>
                          <pic:cNvPr descr="/Applications/quarto/share/formats/docx/important.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p>
          <w:p>
            <w:pPr>
              <w:pStyle w:val="BodyText"/>
            </w:pPr>
            <w:pPr>
              <w:spacing w:before="16" w:after="16"/>
            </w:pPr>
            <w:r>
              <w:t xml:space="preserve">Puede descargar las versiones en PDF y Microsoft Word de este estudio de caso utilizando los enlaces de la derecha.</w:t>
            </w:r>
          </w:p>
        </w:tc>
      </w:tr>
    </w:tbl>
    <w:bookmarkStart w:id="24" w:name="caso-1-descripción"/>
    <w:p>
      <w:pPr>
        <w:pStyle w:val="Heading1"/>
      </w:pPr>
      <w:r>
        <w:t xml:space="preserve">Caso 1 Descripción</w:t>
      </w:r>
    </w:p>
    <w:p>
      <w:pPr>
        <w:pStyle w:val="FirstParagraph"/>
      </w:pPr>
      <w:r>
        <w:t xml:space="preserve">Buscas explorar diferentes estrategias farmacológicas para tratar la infección por VIH. El tratamiento con un único agente, retrociclovir 200 mg al día, tiene un coste medio descontado de por vida de 20.000 $ y una esperanza de vida ajustada a la calidad de 70 años. El tratamiento con un único agente, retrociclovir 400 mg al día, tiene un coste medio descontado de por vida de 22.000 $ y una esperanza de vida ajustada a la calidad de 65 años (dada la mayor incidencia de efectos secundarios con la dosis más alta). Otro fármaco, el centroflexavir (que sólo se presenta en una dosis de 250 mg/día) tiene un coste total medio de por vida de 10.000 dólares y una esperanza de vida ajustada por calidad de 50 años. La combinación de centroflexavir con dosis bajas de retrociclovir tiene un coste medio a lo largo de la vida de $40.000 y una esperanza de vida media ajustada a la calidad de 80 años, mientras que la combinación de centroflexavir con dosis altas de retrociclovir tiene un coste medio a lo largo de la vida de $35.000 y una esperanza de vida ajustada a la calidad de 75 años.</w:t>
      </w:r>
    </w:p>
    <w:p>
      <w:pPr>
        <w:pStyle w:val="BodyText"/>
      </w:pPr>
      <w:r>
        <w:t xml:space="preserve">También se dispone de nuevos antirretrovirales, cuyos costes y AVAC a lo largo de la vida se detallan a continuación:</w:t>
      </w:r>
    </w:p>
    <w:p>
      <w:pPr>
        <w:pStyle w:val="TableCaption"/>
      </w:pPr>
      <w:r>
        <w:t xml:space="preserve">Cost and QALY Outcomes for ARTs</w:t>
      </w:r>
    </w:p>
    <w:tbl>
      <w:tblPr>
        <w:tblStyle w:val="Table"/>
        <w:tblW w:type="auto" w:w="0"/>
        <w:tblLook w:firstRow="1" w:lastRow="0" w:firstColumn="0" w:lastColumn="0" w:noHBand="0" w:noVBand="0" w:val="0020"/>
        <w:jc w:val="start"/>
        <w:tblCaption w:val="Cost and QALY Outcomes for ARTs"/>
      </w:tblPr>
      <w:tblGrid>
        <w:gridCol w:w="2640"/>
        <w:gridCol w:w="2640"/>
        <w:gridCol w:w="2640"/>
      </w:tblGrid>
      <w:tr>
        <w:trPr>
          <w:tblHeader w:val="true"/>
        </w:trPr>
        <w:tc>
          <w:tcPr/>
          <w:p>
            <w:pPr>
              <w:pStyle w:val="Compact"/>
            </w:pPr>
          </w:p>
        </w:tc>
        <w:tc>
          <w:tcPr/>
          <w:p>
            <w:pPr>
              <w:pStyle w:val="Compact"/>
              <w:jc w:val="left"/>
            </w:pPr>
            <w:r>
              <w:t xml:space="preserve">Costos</w:t>
            </w:r>
          </w:p>
        </w:tc>
        <w:tc>
          <w:tcPr/>
          <w:p>
            <w:pPr>
              <w:pStyle w:val="Compact"/>
              <w:jc w:val="left"/>
            </w:pPr>
            <w:r>
              <w:t xml:space="preserve">QALY</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bl>
    <w:bookmarkStart w:id="23" w:name="instrucciones"/>
    <w:p>
      <w:pPr>
        <w:pStyle w:val="Heading2"/>
      </w:pPr>
      <w:r>
        <w:t xml:space="preserve">Instrucciones</w:t>
      </w:r>
    </w:p>
    <w:p>
      <w:pPr>
        <w:pStyle w:val="FirstParagraph"/>
      </w:pPr>
      <w:r>
        <w:t xml:space="preserve">*Realice un análisis coste-efectividad de las opciones de tratamiento utilizando los AVAC como medida de los efectos sobre la salud. ¿Qué estrategia elegiría y por qué, si el umbral de disposición a pagar es de 50.000 dólares por año de vida ajustado por calidad?</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Tratamiento</w:t>
            </w:r>
          </w:p>
        </w:tc>
        <w:tc>
          <w:tcPr/>
          <w:p>
            <w:pPr>
              <w:pStyle w:val="Compact"/>
              <w:jc w:val="left"/>
            </w:pPr>
            <w:r>
              <w:t xml:space="preserve">Costos</w:t>
            </w:r>
          </w:p>
        </w:tc>
        <w:tc>
          <w:tcPr/>
          <w:p>
            <w:pPr>
              <w:pStyle w:val="Compact"/>
              <w:jc w:val="left"/>
            </w:pPr>
            <w:r>
              <w:t xml:space="preserve">QALYs</w:t>
            </w:r>
          </w:p>
        </w:tc>
      </w:tr>
      <w:tr>
        <w:tc>
          <w:tcPr/>
          <w:p>
            <w:pPr>
              <w:pStyle w:val="Compact"/>
              <w:jc w:val="left"/>
            </w:pPr>
            <w:r>
              <w:t xml:space="preserve">No hacer nada</w:t>
            </w:r>
          </w:p>
        </w:tc>
        <w:tc>
          <w:tcPr/>
          <w:p>
            <w:pPr>
              <w:pStyle w:val="Compact"/>
              <w:jc w:val="left"/>
            </w:pPr>
            <w:r>
              <w:t xml:space="preserve">36,000</w:t>
            </w:r>
          </w:p>
        </w:tc>
        <w:tc>
          <w:tcPr/>
          <w:p>
            <w:pPr>
              <w:pStyle w:val="Compact"/>
              <w:jc w:val="left"/>
            </w:pPr>
            <w:r>
              <w:t xml:space="preserve">43.8</w:t>
            </w:r>
          </w:p>
        </w:tc>
      </w:tr>
      <w:tr>
        <w:tc>
          <w:tcPr/>
          <w:p>
            <w:pPr>
              <w:pStyle w:val="Compact"/>
              <w:jc w:val="left"/>
            </w:pPr>
            <w:r>
              <w:t xml:space="preserve">ART 1</w:t>
            </w:r>
          </w:p>
        </w:tc>
        <w:tc>
          <w:tcPr/>
          <w:p>
            <w:pPr>
              <w:pStyle w:val="Compact"/>
              <w:jc w:val="left"/>
            </w:pPr>
            <w:r>
              <w:t xml:space="preserve">15,525</w:t>
            </w:r>
          </w:p>
        </w:tc>
        <w:tc>
          <w:tcPr/>
          <w:p>
            <w:pPr>
              <w:pStyle w:val="Compact"/>
              <w:jc w:val="left"/>
            </w:pPr>
            <w:r>
              <w:t xml:space="preserve">73.52</w:t>
            </w:r>
          </w:p>
        </w:tc>
      </w:tr>
      <w:tr>
        <w:tc>
          <w:tcPr/>
          <w:p>
            <w:pPr>
              <w:pStyle w:val="Compact"/>
              <w:jc w:val="left"/>
            </w:pPr>
            <w:r>
              <w:t xml:space="preserve">ART 1/2</w:t>
            </w:r>
          </w:p>
        </w:tc>
        <w:tc>
          <w:tcPr/>
          <w:p>
            <w:pPr>
              <w:pStyle w:val="Compact"/>
              <w:jc w:val="left"/>
            </w:pPr>
            <w:r>
              <w:t xml:space="preserve">11,000</w:t>
            </w:r>
          </w:p>
        </w:tc>
        <w:tc>
          <w:tcPr/>
          <w:p>
            <w:pPr>
              <w:pStyle w:val="Compact"/>
              <w:jc w:val="left"/>
            </w:pPr>
            <w:r>
              <w:t xml:space="preserve">63.4</w:t>
            </w:r>
          </w:p>
        </w:tc>
      </w:tr>
      <w:tr>
        <w:tc>
          <w:tcPr/>
          <w:p>
            <w:pPr>
              <w:pStyle w:val="Compact"/>
              <w:jc w:val="left"/>
            </w:pPr>
            <w:r>
              <w:t xml:space="preserve">Retro 200</w:t>
            </w:r>
          </w:p>
        </w:tc>
        <w:tc>
          <w:tcPr/>
          <w:p>
            <w:pPr>
              <w:pStyle w:val="Compact"/>
              <w:jc w:val="left"/>
            </w:pPr>
            <w:r>
              <w:t xml:space="preserve">20,000</w:t>
            </w:r>
          </w:p>
        </w:tc>
        <w:tc>
          <w:tcPr/>
          <w:p>
            <w:pPr>
              <w:pStyle w:val="Compact"/>
              <w:jc w:val="left"/>
            </w:pPr>
            <w:r>
              <w:t xml:space="preserve">70.0</w:t>
            </w:r>
          </w:p>
        </w:tc>
      </w:tr>
      <w:tr>
        <w:tc>
          <w:tcPr/>
          <w:p>
            <w:pPr>
              <w:pStyle w:val="Compact"/>
              <w:jc w:val="left"/>
            </w:pPr>
            <w:r>
              <w:t xml:space="preserve">Retro 400</w:t>
            </w:r>
          </w:p>
        </w:tc>
        <w:tc>
          <w:tcPr/>
          <w:p>
            <w:pPr>
              <w:pStyle w:val="Compact"/>
              <w:jc w:val="left"/>
            </w:pPr>
            <w:r>
              <w:t xml:space="preserve">22,000</w:t>
            </w:r>
          </w:p>
        </w:tc>
        <w:tc>
          <w:tcPr/>
          <w:p>
            <w:pPr>
              <w:pStyle w:val="Compact"/>
              <w:jc w:val="left"/>
            </w:pPr>
            <w:r>
              <w:t xml:space="preserve">65.0</w:t>
            </w:r>
          </w:p>
        </w:tc>
      </w:tr>
      <w:tr>
        <w:tc>
          <w:tcPr/>
          <w:p>
            <w:pPr>
              <w:pStyle w:val="Compact"/>
              <w:jc w:val="left"/>
            </w:pPr>
            <w:r>
              <w:t xml:space="preserve">Centro</w:t>
            </w:r>
          </w:p>
        </w:tc>
        <w:tc>
          <w:tcPr/>
          <w:p>
            <w:pPr>
              <w:pStyle w:val="Compact"/>
              <w:jc w:val="left"/>
            </w:pPr>
            <w:r>
              <w:t xml:space="preserve">10,000</w:t>
            </w:r>
          </w:p>
        </w:tc>
        <w:tc>
          <w:tcPr/>
          <w:p>
            <w:pPr>
              <w:pStyle w:val="Compact"/>
              <w:jc w:val="left"/>
            </w:pPr>
            <w:r>
              <w:t xml:space="preserve">50.0</w:t>
            </w:r>
          </w:p>
        </w:tc>
      </w:tr>
      <w:tr>
        <w:tc>
          <w:tcPr/>
          <w:p>
            <w:pPr>
              <w:pStyle w:val="Compact"/>
              <w:jc w:val="left"/>
            </w:pPr>
            <w:r>
              <w:t xml:space="preserve">Centro / Retro 200</w:t>
            </w:r>
          </w:p>
        </w:tc>
        <w:tc>
          <w:tcPr/>
          <w:p>
            <w:pPr>
              <w:pStyle w:val="Compact"/>
              <w:jc w:val="left"/>
            </w:pPr>
            <w:r>
              <w:t xml:space="preserve">40,000</w:t>
            </w:r>
          </w:p>
        </w:tc>
        <w:tc>
          <w:tcPr/>
          <w:p>
            <w:pPr>
              <w:pStyle w:val="Compact"/>
              <w:jc w:val="left"/>
            </w:pPr>
            <w:r>
              <w:t xml:space="preserve">80.0</w:t>
            </w:r>
          </w:p>
        </w:tc>
      </w:tr>
      <w:tr>
        <w:tc>
          <w:tcPr/>
          <w:p>
            <w:pPr>
              <w:pStyle w:val="Compact"/>
              <w:jc w:val="left"/>
            </w:pPr>
            <w:r>
              <w:t xml:space="preserve">Centro / Retro 400</w:t>
            </w:r>
          </w:p>
        </w:tc>
        <w:tc>
          <w:tcPr/>
          <w:p>
            <w:pPr>
              <w:pStyle w:val="Compact"/>
              <w:jc w:val="left"/>
            </w:pPr>
            <w:r>
              <w:t xml:space="preserve">35,000</w:t>
            </w:r>
          </w:p>
        </w:tc>
        <w:tc>
          <w:tcPr/>
          <w:p>
            <w:pPr>
              <w:pStyle w:val="Compact"/>
              <w:jc w:val="left"/>
            </w:pPr>
            <w:r>
              <w:t xml:space="preserve">75.0</w:t>
            </w:r>
          </w:p>
        </w:tc>
      </w:tr>
    </w:tbl>
    <w:p/>
    <w:p>
      <w:pPr>
        <w:pStyle w:val="TableCaption"/>
      </w:pPr>
      <w:r>
        <w:t xml:space="preserve">Opciones de tratamiento</w:t>
      </w:r>
    </w:p>
    <w:tbl>
      <w:tblPr>
        <w:tblStyle w:val="Table"/>
        <w:tblW w:type="pct" w:w="5000"/>
        <w:tblLook w:firstRow="1" w:lastRow="0" w:firstColumn="0" w:lastColumn="0" w:noHBand="0" w:noVBand="0" w:val="0020"/>
        <w:jc w:val="start"/>
        <w:tblLayout w:type="fixed"/>
        <w:tblCaption w:val="Opciones de tratamiento"/>
      </w:tblPr>
      <w:tblGrid>
        <w:gridCol w:w="1320"/>
        <w:gridCol w:w="1320"/>
        <w:gridCol w:w="1320"/>
        <w:gridCol w:w="1320"/>
        <w:gridCol w:w="1320"/>
        <w:gridCol w:w="1320"/>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Cálculo ICER Tabla 3 {tbl-colwidths=</w:t>
      </w:r>
      <w:r>
        <w:t xml:space="preserve">“</w:t>
      </w:r>
      <w:r>
        <w:t xml:space="preserve">[20,20,20,20,20,20]</w:t>
      </w:r>
      <w:r>
        <w:t xml:space="preserve">”</w:t>
      </w:r>
      <w:r>
        <w:t xml:space="preserve">}</w:t>
      </w:r>
    </w:p>
    <w:bookmarkEnd w:id="23"/>
    <w:bookmarkEnd w:id="24"/>
    <w:bookmarkStart w:id="26" w:name="caso-2-descripción"/>
    <w:p>
      <w:pPr>
        <w:pStyle w:val="Heading1"/>
      </w:pPr>
      <w:r>
        <w:t xml:space="preserve">Caso 2 Descripción</w:t>
      </w:r>
    </w:p>
    <w:p>
      <w:pPr>
        <w:pStyle w:val="FirstParagraph"/>
      </w:pPr>
      <w:r>
        <w:t xml:space="preserve">Usted está interesado en realizar un análisis de coste-efectividad de diferentes recomendaciones de cribado de lesiones intraepiteliales escamosas anales y cáncer anal en hombres.</w:t>
      </w:r>
    </w:p>
    <w:p>
      <w:pPr>
        <w:pStyle w:val="BodyText"/>
      </w:pPr>
      <w:r>
        <w:t xml:space="preserve">A continuación se muestra una tabla con los costes y los años de vida ajustados por calidad ganados asociados a diferentes estrategias de cribado en un periodo de tiempo de seis años.</w:t>
      </w:r>
    </w:p>
    <w:bookmarkStart w:id="25" w:name="instrucciones-1"/>
    <w:p>
      <w:pPr>
        <w:pStyle w:val="Heading2"/>
      </w:pPr>
      <w:r>
        <w:t xml:space="preserve">Instrucciones</w:t>
      </w:r>
    </w:p>
    <w:p>
      <w:pPr>
        <w:pStyle w:val="FirstParagraph"/>
      </w:pPr>
      <w:r>
        <w:rPr>
          <w:iCs/>
          <w:i/>
        </w:rPr>
        <w:t xml:space="preserve">Calcule los cocientes de coste-efectividad incrementales para cada estrategia y determine qué estrategia de cribado elegiría si, como responsable de la toma de decisiones, estuviera dispuesto a pagar $50.000/QALY (utilizando años de vida ajustados por calidad descontados)</w:t>
      </w:r>
      <w:r>
        <w:t xml:space="preserve">.</w:t>
      </w:r>
    </w:p>
    <w:p>
      <w:pPr>
        <w:pStyle w:val="TableCaption"/>
      </w:pPr>
      <w:r>
        <w:t xml:space="preserve">Cost and QALY Outcomes, by Strategy</w:t>
      </w:r>
    </w:p>
    <w:tbl>
      <w:tblPr>
        <w:tblStyle w:val="Table"/>
        <w:tblW w:type="pct" w:w="5000"/>
        <w:tblLook w:firstRow="1" w:lastRow="0" w:firstColumn="0" w:lastColumn="0" w:noHBand="0" w:noVBand="0" w:val="0020"/>
        <w:jc w:val="start"/>
        <w:tblLayout w:type="fixed"/>
        <w:tblCaption w:val="Cost and QALY Outcomes, by Strategy"/>
      </w:tblPr>
      <w:tblGrid>
        <w:gridCol w:w="2602"/>
        <w:gridCol w:w="2036"/>
        <w:gridCol w:w="3281"/>
      </w:tblGrid>
      <w:tr>
        <w:trPr>
          <w:tblHeader w:val="true"/>
        </w:trPr>
        <w:tc>
          <w:tcPr/>
          <w:p>
            <w:pPr>
              <w:pStyle w:val="Compact"/>
              <w:jc w:val="left"/>
            </w:pPr>
            <w:r>
              <w:t xml:space="preserve">Estrategia de cribado</w:t>
            </w:r>
          </w:p>
        </w:tc>
        <w:tc>
          <w:tcPr/>
          <w:p>
            <w:pPr>
              <w:pStyle w:val="Compact"/>
              <w:jc w:val="left"/>
            </w:pPr>
            <w:r>
              <w:t xml:space="preserve">AVAC descontados</w:t>
            </w:r>
          </w:p>
        </w:tc>
        <w:tc>
          <w:tcPr/>
          <w:p>
            <w:pPr>
              <w:pStyle w:val="Compact"/>
              <w:jc w:val="left"/>
            </w:pPr>
            <w:r>
              <w:t xml:space="preserve">Costes descontados ($2022)</w:t>
            </w:r>
          </w:p>
        </w:tc>
      </w:tr>
      <w:tr>
        <w:tc>
          <w:tcPr/>
          <w:p>
            <w:pPr>
              <w:pStyle w:val="Compact"/>
              <w:jc w:val="left"/>
            </w:pPr>
            <w:r>
              <w:t xml:space="preserve">No screening</w:t>
            </w:r>
          </w:p>
        </w:tc>
        <w:tc>
          <w:tcPr/>
          <w:p>
            <w:pPr>
              <w:pStyle w:val="Compact"/>
              <w:jc w:val="left"/>
            </w:pPr>
            <w:r>
              <w:t xml:space="preserve">10.05</w:t>
            </w:r>
          </w:p>
        </w:tc>
        <w:tc>
          <w:tcPr/>
          <w:p>
            <w:pPr>
              <w:pStyle w:val="Compact"/>
              <w:jc w:val="left"/>
            </w:pPr>
            <w:r>
              <w:t xml:space="preserve">4,130</w:t>
            </w:r>
          </w:p>
        </w:tc>
      </w:tr>
      <w:tr>
        <w:tc>
          <w:tcPr/>
          <w:p>
            <w:pPr>
              <w:pStyle w:val="Compact"/>
              <w:jc w:val="left"/>
            </w:pPr>
            <w:r>
              <w:t xml:space="preserve">Every 3 years</w:t>
            </w:r>
          </w:p>
        </w:tc>
        <w:tc>
          <w:tcPr/>
          <w:p>
            <w:pPr>
              <w:pStyle w:val="Compact"/>
              <w:jc w:val="left"/>
            </w:pPr>
            <w:r>
              <w:t xml:space="preserve">10.798</w:t>
            </w:r>
          </w:p>
        </w:tc>
        <w:tc>
          <w:tcPr/>
          <w:p>
            <w:pPr>
              <w:pStyle w:val="Compact"/>
              <w:jc w:val="left"/>
            </w:pPr>
            <w:r>
              <w:t xml:space="preserve">5,178</w:t>
            </w:r>
          </w:p>
        </w:tc>
      </w:tr>
      <w:tr>
        <w:tc>
          <w:tcPr/>
          <w:p>
            <w:pPr>
              <w:pStyle w:val="Compact"/>
              <w:jc w:val="left"/>
            </w:pPr>
            <w:r>
              <w:t xml:space="preserve">Every 2 years</w:t>
            </w:r>
          </w:p>
        </w:tc>
        <w:tc>
          <w:tcPr/>
          <w:p>
            <w:pPr>
              <w:pStyle w:val="Compact"/>
              <w:jc w:val="left"/>
            </w:pPr>
            <w:r>
              <w:t xml:space="preserve">10.830</w:t>
            </w:r>
          </w:p>
        </w:tc>
        <w:tc>
          <w:tcPr/>
          <w:p>
            <w:pPr>
              <w:pStyle w:val="Compact"/>
              <w:jc w:val="left"/>
            </w:pPr>
            <w:r>
              <w:t xml:space="preserve">5,583</w:t>
            </w:r>
          </w:p>
        </w:tc>
      </w:tr>
      <w:tr>
        <w:tc>
          <w:tcPr/>
          <w:p>
            <w:pPr>
              <w:pStyle w:val="Compact"/>
              <w:jc w:val="left"/>
            </w:pPr>
            <w:r>
              <w:t xml:space="preserve">Every 1 year</w:t>
            </w:r>
          </w:p>
        </w:tc>
        <w:tc>
          <w:tcPr/>
          <w:p>
            <w:pPr>
              <w:pStyle w:val="Compact"/>
              <w:jc w:val="left"/>
            </w:pPr>
            <w:r>
              <w:t xml:space="preserve">10.973</w:t>
            </w:r>
          </w:p>
        </w:tc>
        <w:tc>
          <w:tcPr/>
          <w:p>
            <w:pPr>
              <w:pStyle w:val="Compact"/>
              <w:jc w:val="left"/>
            </w:pPr>
            <w:r>
              <w:t xml:space="preserve">6,417</w:t>
            </w:r>
          </w:p>
        </w:tc>
      </w:tr>
      <w:tr>
        <w:tc>
          <w:tcPr/>
          <w:p>
            <w:pPr>
              <w:pStyle w:val="Compact"/>
              <w:jc w:val="left"/>
            </w:pPr>
            <w:r>
              <w:t xml:space="preserve">Every 6 months</w:t>
            </w:r>
          </w:p>
        </w:tc>
        <w:tc>
          <w:tcPr/>
          <w:p>
            <w:pPr>
              <w:pStyle w:val="Compact"/>
              <w:jc w:val="left"/>
            </w:pPr>
            <w:r>
              <w:t xml:space="preserve">10.988</w:t>
            </w:r>
          </w:p>
        </w:tc>
        <w:tc>
          <w:tcPr/>
          <w:p>
            <w:pPr>
              <w:pStyle w:val="Compact"/>
              <w:jc w:val="left"/>
            </w:pPr>
            <w:r>
              <w:t xml:space="preserve">8,744</w:t>
            </w:r>
          </w:p>
        </w:tc>
      </w:tr>
    </w:tbl>
    <w:p>
      <w:pPr>
        <w:pStyle w:val="BodyText"/>
      </w:pPr>
      <w:r>
        <w:t xml:space="preserve"> </w:t>
      </w:r>
    </w:p>
    <w:p>
      <w:pPr>
        <w:pStyle w:val="TableCaption"/>
      </w:pPr>
      <w:r>
        <w:t xml:space="preserve">Cálculo del ICER Tabla 1</w:t>
      </w:r>
    </w:p>
    <w:tbl>
      <w:tblPr>
        <w:tblStyle w:val="Table"/>
        <w:tblW w:type="pct" w:w="5100"/>
        <w:tblLook w:firstRow="1" w:lastRow="0" w:firstColumn="0" w:lastColumn="0" w:noHBand="0" w:noVBand="0" w:val="0020"/>
        <w:jc w:val="start"/>
        <w:tblLayout w:type="fixed"/>
        <w:tblCaption w:val="Cálculo del ICER Tabla 1"/>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 </w:t>
      </w:r>
    </w:p>
    <w:p>
      <w:pPr>
        <w:pStyle w:val="TableCaption"/>
      </w:pPr>
      <w:r>
        <w:t xml:space="preserve">Cálculo ICER Tabla 2</w:t>
      </w:r>
    </w:p>
    <w:tbl>
      <w:tblPr>
        <w:tblStyle w:val="Table"/>
        <w:tblW w:type="pct" w:w="5100"/>
        <w:tblLook w:firstRow="1" w:lastRow="0" w:firstColumn="0" w:lastColumn="0" w:noHBand="0" w:noVBand="0" w:val="0020"/>
        <w:jc w:val="start"/>
        <w:tblLayout w:type="fixed"/>
        <w:tblCaption w:val="Cálculo ICER Tabla 2"/>
      </w:tblPr>
      <w:tblGrid>
        <w:gridCol w:w="1346"/>
        <w:gridCol w:w="1346"/>
        <w:gridCol w:w="1346"/>
        <w:gridCol w:w="1346"/>
        <w:gridCol w:w="1346"/>
        <w:gridCol w:w="1346"/>
      </w:tblGrid>
      <w:tr>
        <w:trPr>
          <w:tblHeader w:val="true"/>
        </w:trPr>
        <w:tc>
          <w:tcPr/>
          <w:p>
            <w:pPr>
              <w:pStyle w:val="Compact"/>
              <w:jc w:val="left"/>
            </w:pPr>
            <w:r>
              <w:t xml:space="preserve">Estrategia</w:t>
            </w:r>
          </w:p>
        </w:tc>
        <w:tc>
          <w:tcPr/>
          <w:p>
            <w:pPr>
              <w:pStyle w:val="Compact"/>
              <w:jc w:val="left"/>
            </w:pPr>
            <w:r>
              <w:t xml:space="preserve">Costos descontados</w:t>
            </w:r>
          </w:p>
        </w:tc>
        <w:tc>
          <w:tcPr/>
          <w:p>
            <w:pPr>
              <w:pStyle w:val="Compact"/>
              <w:jc w:val="left"/>
            </w:pPr>
            <w:r>
              <w:t xml:space="preserve">AVAC descontados</w:t>
            </w:r>
          </w:p>
        </w:tc>
        <w:tc>
          <w:tcPr/>
          <w:p>
            <w:pPr>
              <w:pStyle w:val="Compact"/>
              <w:jc w:val="left"/>
            </w:pPr>
            <w:r>
              <w:t xml:space="preserve">Costos incrementales</w:t>
            </w:r>
          </w:p>
        </w:tc>
        <w:tc>
          <w:tcPr/>
          <w:p>
            <w:pPr>
              <w:pStyle w:val="Compact"/>
              <w:jc w:val="left"/>
            </w:pPr>
            <w:r>
              <w:t xml:space="preserve">Incremento de AVAC</w:t>
            </w:r>
          </w:p>
        </w:tc>
        <w:tc>
          <w:tcPr/>
          <w:p>
            <w:pPr>
              <w:pStyle w:val="Compact"/>
              <w:jc w:val="left"/>
            </w:pPr>
            <w:r>
              <w:t xml:space="preserve">ICER ($/AVAC)</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ICERs</dc:title>
  <dc:creator/>
  <cp:keywords/>
  <dcterms:created xsi:type="dcterms:W3CDTF">2024-06-19T20:23:24Z</dcterms:created>
  <dcterms:modified xsi:type="dcterms:W3CDTF">2024-06-19T20:23:24Z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