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2.png" ContentType="image/png"/>
  <Override PartName="/word/media/rId32.png" ContentType="image/png"/>
  <Override PartName="/word/media/rId80.png" ContentType="image/png"/>
  <Override PartName="/word/media/rId54.png" ContentType="image/png"/>
  <Override PartName="/word/media/rId98.png" ContentType="image/png"/>
  <Override PartName="/word/media/rId77.png" ContentType="image/png"/>
  <Override PartName="/word/media/rId40.png" ContentType="image/png"/>
  <Override PartName="/word/media/rId92.png" ContentType="image/png"/>
  <Override PartName="/word/media/rId44.png" ContentType="image/png"/>
  <Override PartName="/word/media/rId65.png" ContentType="image/png"/>
  <Override PartName="/word/media/rId70.png" ContentType="image/png"/>
  <Override PartName="/word/media/rId103.png" ContentType="image/png"/>
  <Override PartName="/word/media/rId114.png" ContentType="image/png"/>
  <Override PartName="/word/media/rId106.png" ContentType="image/png"/>
  <Override PartName="/word/media/rId57.png" ContentType="image/png"/>
  <Override PartName="/word/media/rId28.png" ContentType="image/png"/>
  <Override PartName="/word/media/rId85.png" ContentType="image/png"/>
  <Override PartName="/word/media/rId89.png" ContentType="image/png"/>
  <Override PartName="/word/media/rId74.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extend our evaluation of firework injuries using a discrete time Markov cohort model. While the decision tree we constructed yesterday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4" w:name="alive-dead-model"/>
    <w:p>
      <w:pPr>
        <w:pStyle w:val="Heading1"/>
      </w:pPr>
      <w:r>
        <w:t xml:space="preserve">1. Alive-Dead Model</w:t>
      </w:r>
    </w:p>
    <w:p>
      <w:pPr>
        <w:pStyle w:val="FirstParagraph"/>
      </w:pPr>
      <w:r>
        <w:t xml:space="preserve">We will start by constructing a simple Markov model representing just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demographic life table data from Columbia. Once we validate that we can successfully replicate life expectancy from birth, we can begin to augment the model with firework injuries, strategies, costs, etc.</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health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9"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8"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0" name="Picture"/>
                  <a:graphic>
                    <a:graphicData uri="http://schemas.openxmlformats.org/drawingml/2006/picture">
                      <pic:pic>
                        <pic:nvPicPr>
                          <pic:cNvPr descr="/Applications/quarto/share/formats/docx/note.png" id="6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c>
      </w:tr>
    </w:tbl>
    <w:p>
      <w:pPr>
        <w:pStyle w:val="BodyText"/>
      </w:pPr>
      <w:r>
        <w:t xml:space="preserve"> </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3" name="Picture"/>
                  <a:graphic>
                    <a:graphicData uri="http://schemas.openxmlformats.org/drawingml/2006/picture">
                      <pic:pic>
                        <pic:nvPicPr>
                          <pic:cNvPr descr="/Applications/quarto/share/formats/docx/tip.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6" name="Picture"/>
            <a:graphic>
              <a:graphicData uri="http://schemas.openxmlformats.org/drawingml/2006/picture">
                <pic:pic>
                  <pic:nvPicPr>
                    <pic:cNvPr descr="images/clipboard-3390332906.png" id="67" name="Picture"/>
                    <pic:cNvPicPr>
                      <a:picLocks noChangeArrowheads="1" noChangeAspect="1"/>
                    </pic:cNvPicPr>
                  </pic:nvPicPr>
                  <pic:blipFill>
                    <a:blip r:embed="rId65"/>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8"/>
    <w:bookmarkEnd w:id="69"/>
    <w:bookmarkStart w:id="73"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71" name="Picture"/>
            <a:graphic>
              <a:graphicData uri="http://schemas.openxmlformats.org/drawingml/2006/picture">
                <pic:pic>
                  <pic:nvPicPr>
                    <pic:cNvPr descr="images/clipboard-3413612505.png" id="72" name="Picture"/>
                    <pic:cNvPicPr>
                      <a:picLocks noChangeArrowheads="1" noChangeAspect="1"/>
                    </pic:cNvPicPr>
                  </pic:nvPicPr>
                  <pic:blipFill>
                    <a:blip r:embed="rId70"/>
                    <a:stretch>
                      <a:fillRect/>
                    </a:stretch>
                  </pic:blipFill>
                  <pic:spPr bwMode="auto">
                    <a:xfrm>
                      <a:off x="0" y="0"/>
                      <a:ext cx="3810000" cy="2282433"/>
                    </a:xfrm>
                    <a:prstGeom prst="rect">
                      <a:avLst/>
                    </a:prstGeom>
                    <a:noFill/>
                    <a:ln w="9525">
                      <a:noFill/>
                      <a:headEnd/>
                      <a:tailEnd/>
                    </a:ln>
                  </pic:spPr>
                </pic:pic>
              </a:graphicData>
            </a:graphic>
          </wp:inline>
        </w:drawing>
      </w:r>
    </w:p>
    <w:bookmarkEnd w:id="73"/>
    <w:bookmarkStart w:id="83"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5" name="Picture"/>
            <a:graphic>
              <a:graphicData uri="http://schemas.openxmlformats.org/drawingml/2006/picture">
                <pic:pic>
                  <pic:nvPicPr>
                    <pic:cNvPr descr="images/clipboard-896605952.png" id="76" name="Picture"/>
                    <pic:cNvPicPr>
                      <a:picLocks noChangeArrowheads="1" noChangeAspect="1"/>
                    </pic:cNvPicPr>
                  </pic:nvPicPr>
                  <pic:blipFill>
                    <a:blip r:embed="rId74"/>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8" name="Picture"/>
            <a:graphic>
              <a:graphicData uri="http://schemas.openxmlformats.org/drawingml/2006/picture">
                <pic:pic>
                  <pic:nvPicPr>
                    <pic:cNvPr descr="images/clipboard-2710970859.png" id="79" name="Picture"/>
                    <pic:cNvPicPr>
                      <a:picLocks noChangeArrowheads="1" noChangeAspect="1"/>
                    </pic:cNvPicPr>
                  </pic:nvPicPr>
                  <pic:blipFill>
                    <a:blip r:embed="rId77"/>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81" name="Picture"/>
            <a:graphic>
              <a:graphicData uri="http://schemas.openxmlformats.org/drawingml/2006/picture">
                <pic:pic>
                  <pic:nvPicPr>
                    <pic:cNvPr descr="images/clipboard-2281393950.png" id="82" name="Picture"/>
                    <pic:cNvPicPr>
                      <a:picLocks noChangeArrowheads="1" noChangeAspect="1"/>
                    </pic:cNvPicPr>
                  </pic:nvPicPr>
                  <pic:blipFill>
                    <a:blip r:embed="rId80"/>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3"/>
    <w:bookmarkEnd w:id="84"/>
    <w:bookmarkStart w:id="110" w:name="firework-injury-model"/>
    <w:p>
      <w:pPr>
        <w:pStyle w:val="Heading1"/>
      </w:pPr>
      <w:r>
        <w:t xml:space="preserve">2. 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8"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6" name="Picture"/>
            <a:graphic>
              <a:graphicData uri="http://schemas.openxmlformats.org/drawingml/2006/picture">
                <pic:pic>
                  <pic:nvPicPr>
                    <pic:cNvPr descr="images/clipboard-687927954.png" id="87" name="Picture"/>
                    <pic:cNvPicPr>
                      <a:picLocks noChangeArrowheads="1" noChangeAspect="1"/>
                    </pic:cNvPicPr>
                  </pic:nvPicPr>
                  <pic:blipFill>
                    <a:blip r:embed="rId85"/>
                    <a:stretch>
                      <a:fillRect/>
                    </a:stretch>
                  </pic:blipFill>
                  <pic:spPr bwMode="auto">
                    <a:xfrm>
                      <a:off x="0" y="0"/>
                      <a:ext cx="5334000" cy="1702858"/>
                    </a:xfrm>
                    <a:prstGeom prst="rect">
                      <a:avLst/>
                    </a:prstGeom>
                    <a:noFill/>
                    <a:ln w="9525">
                      <a:noFill/>
                      <a:headEnd/>
                      <a:tailEnd/>
                    </a:ln>
                  </pic:spPr>
                </pic:pic>
              </a:graphicData>
            </a:graphic>
          </wp:inline>
        </w:drawing>
      </w:r>
    </w:p>
    <w:bookmarkEnd w:id="88"/>
    <w:bookmarkStart w:id="95"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90" name="Picture"/>
            <a:graphic>
              <a:graphicData uri="http://schemas.openxmlformats.org/drawingml/2006/picture">
                <pic:pic>
                  <pic:nvPicPr>
                    <pic:cNvPr descr="images/clipboard-881873459.png" id="91" name="Picture"/>
                    <pic:cNvPicPr>
                      <a:picLocks noChangeArrowheads="1" noChangeAspect="1"/>
                    </pic:cNvPicPr>
                  </pic:nvPicPr>
                  <pic:blipFill>
                    <a:blip r:embed="rId89"/>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3" name="Picture"/>
            <a:graphic>
              <a:graphicData uri="http://schemas.openxmlformats.org/drawingml/2006/picture">
                <pic:pic>
                  <pic:nvPicPr>
                    <pic:cNvPr descr="images/clipboard-3337587212.png" id="94" name="Picture"/>
                    <pic:cNvPicPr>
                      <a:picLocks noChangeArrowheads="1" noChangeAspect="1"/>
                    </pic:cNvPicPr>
                  </pic:nvPicPr>
                  <pic:blipFill>
                    <a:blip r:embed="rId92"/>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5"/>
    <w:bookmarkStart w:id="101"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6" name="Picture"/>
                  <a:graphic>
                    <a:graphicData uri="http://schemas.openxmlformats.org/drawingml/2006/picture">
                      <pic:pic>
                        <pic:nvPicPr>
                          <pic:cNvPr descr="/Applications/quarto/share/formats/docx/tip.png" id="97"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9" name="Picture"/>
                  <a:graphic>
                    <a:graphicData uri="http://schemas.openxmlformats.org/drawingml/2006/picture">
                      <pic:pic>
                        <pic:nvPicPr>
                          <pic:cNvPr descr="images/clipboard-2682716973.png" id="100" name="Picture"/>
                          <pic:cNvPicPr>
                            <a:picLocks noChangeArrowheads="1" noChangeAspect="1"/>
                          </pic:cNvPicPr>
                        </pic:nvPicPr>
                        <pic:blipFill>
                          <a:blip r:embed="rId98"/>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101"/>
    <w:bookmarkStart w:id="102"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2"/>
    <w:bookmarkStart w:id="109"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4" name="Picture"/>
            <a:graphic>
              <a:graphicData uri="http://schemas.openxmlformats.org/drawingml/2006/picture">
                <pic:pic>
                  <pic:nvPicPr>
                    <pic:cNvPr descr="images/clipboard-3464155160.png" id="105" name="Picture"/>
                    <pic:cNvPicPr>
                      <a:picLocks noChangeArrowheads="1" noChangeAspect="1"/>
                    </pic:cNvPicPr>
                  </pic:nvPicPr>
                  <pic:blipFill>
                    <a:blip r:embed="rId103"/>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7" name="Picture"/>
            <a:graphic>
              <a:graphicData uri="http://schemas.openxmlformats.org/drawingml/2006/picture">
                <pic:pic>
                  <pic:nvPicPr>
                    <pic:cNvPr descr="images/clipboard-3937417551.png" id="108" name="Picture"/>
                    <pic:cNvPicPr>
                      <a:picLocks noChangeArrowheads="1" noChangeAspect="1"/>
                    </pic:cNvPicPr>
                  </pic:nvPicPr>
                  <pic:blipFill>
                    <a:blip r:embed="rId106"/>
                    <a:stretch>
                      <a:fillRect/>
                    </a:stretch>
                  </pic:blipFill>
                  <pic:spPr bwMode="auto">
                    <a:xfrm>
                      <a:off x="0" y="0"/>
                      <a:ext cx="5334000" cy="2638198"/>
                    </a:xfrm>
                    <a:prstGeom prst="rect">
                      <a:avLst/>
                    </a:prstGeom>
                    <a:noFill/>
                    <a:ln w="9525">
                      <a:noFill/>
                      <a:headEnd/>
                      <a:tailEnd/>
                    </a:ln>
                  </pic:spPr>
                </pic:pic>
              </a:graphicData>
            </a:graphic>
          </wp:inline>
        </w:drawing>
      </w:r>
    </w:p>
    <w:bookmarkEnd w:id="109"/>
    <w:bookmarkEnd w:id="110"/>
    <w:bookmarkStart w:id="11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Start w:id="117" w:name="add-the-injury-probability-lookup-table"/>
    <w:p>
      <w:pPr>
        <w:pStyle w:val="Heading2"/>
      </w:pPr>
      <w:r>
        <w:t xml:space="preserve">Add the Injury Probability Lookup Table</w:t>
      </w:r>
    </w:p>
    <w:p>
      <w:pPr>
        <w:pStyle w:val="FirstParagraph"/>
      </w:pPr>
      <w:r>
        <w:t xml:space="preserve">Just like we did with the age-specific mortality probabilities above, download the</w:t>
      </w:r>
      <w:r>
        <w:t xml:space="preserve"> </w:t>
      </w:r>
      <w:hyperlink r:id="rId111">
        <w:r>
          <w:rPr>
            <w:rStyle w:val="VerbatimChar"/>
          </w:rPr>
          <w:t xml:space="preserve">cases-by-age.csv</w:t>
        </w:r>
      </w:hyperlink>
      <w:r>
        <w:t xml:space="preserve"> </w:t>
      </w:r>
      <w:r>
        <w:t xml:space="preserve">data file from the workshop website.</w:t>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t xml:space="preserve">Enter</w:t>
      </w:r>
      <w:r>
        <w:t xml:space="preserve"> </w:t>
      </w:r>
      <w:r>
        <w:t xml:space="preserve">“</w:t>
      </w:r>
      <w:r>
        <w:t xml:space="preserve">tbl_p_injury</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12" name="Picture"/>
                  <a:graphic>
                    <a:graphicData uri="http://schemas.openxmlformats.org/drawingml/2006/picture">
                      <pic:pic>
                        <pic:nvPicPr>
                          <pic:cNvPr descr="/Applications/quarto/share/formats/docx/important.png" id="113"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Amua may also include additional blank rows when it imports the table. Before you proceed, remove all blank rows by clicking on the row, then using the</w:t>
            </w:r>
            <w:r>
              <w:t xml:space="preserve"> </w:t>
            </w:r>
            <w:r>
              <w:t xml:space="preserve"> </w:t>
            </w:r>
            <w:r>
              <w:t xml:space="preserve">button next to</w:t>
            </w:r>
            <w:r>
              <w:t xml:space="preserve"> </w:t>
            </w:r>
            <w:r>
              <w:t xml:space="preserve">“</w:t>
            </w:r>
            <w:r>
              <w:t xml:space="preserve">Rows</w:t>
            </w:r>
            <w:r>
              <w:t xml:space="preserve">”</w:t>
            </w:r>
            <w:r>
              <w:t xml:space="preserve"> </w:t>
            </w:r>
            <w:r>
              <w:t xml:space="preserve">(see red rectangles below).</w:t>
            </w:r>
          </w:p>
          <w:p>
            <w:pPr>
              <w:pStyle w:val="BodyText"/>
            </w:pPr>
            <w:pPr>
              <w:spacing w:after="16"/>
            </w:pPr>
            <w:r>
              <w:drawing>
                <wp:inline>
                  <wp:extent cx="5334000" cy="3482957"/>
                  <wp:effectExtent b="0" l="0" r="0" t="0"/>
                  <wp:docPr descr="" title="" id="115" name="Picture"/>
                  <a:graphic>
                    <a:graphicData uri="http://schemas.openxmlformats.org/drawingml/2006/picture">
                      <pic:pic>
                        <pic:nvPicPr>
                          <pic:cNvPr descr="images/clipboard-3528703004.png" id="116" name="Picture"/>
                          <pic:cNvPicPr>
                            <a:picLocks noChangeArrowheads="1" noChangeAspect="1"/>
                          </pic:cNvPicPr>
                        </pic:nvPicPr>
                        <pic:blipFill>
                          <a:blip r:embed="rId114"/>
                          <a:stretch>
                            <a:fillRect/>
                          </a:stretch>
                        </pic:blipFill>
                        <pic:spPr bwMode="auto">
                          <a:xfrm>
                            <a:off x="0" y="0"/>
                            <a:ext cx="5334000" cy="3482957"/>
                          </a:xfrm>
                          <a:prstGeom prst="rect">
                            <a:avLst/>
                          </a:prstGeom>
                          <a:noFill/>
                          <a:ln w="9525">
                            <a:noFill/>
                            <a:headEnd/>
                            <a:tailEnd/>
                          </a:ln>
                        </pic:spPr>
                      </pic:pic>
                    </a:graphicData>
                  </a:graphic>
                </wp:inline>
              </w:drawing>
            </w:r>
          </w:p>
        </w:tc>
      </w:tr>
    </w:tbl>
    <w:bookmarkEnd w:id="117"/>
    <w:bookmarkStart w:id="118" w:name="X8fe56a855fcb659f0a1ef82d619f2622ef7b7e4"/>
    <w:p>
      <w:pPr>
        <w:pStyle w:val="Heading2"/>
      </w:pPr>
      <w:r>
        <w:t xml:space="preserve">Define an Age-Specific Injury Probability</w:t>
      </w:r>
    </w:p>
    <w:p>
      <w:pPr>
        <w:pStyle w:val="FirstParagraph"/>
      </w:pPr>
      <w:r>
        <w:t xml:space="preserve">Next, we can define the</w:t>
      </w:r>
      <w:r>
        <w:t xml:space="preserve"> </w:t>
      </w:r>
      <w:r>
        <w:rPr>
          <w:iCs/>
          <w:i/>
        </w:rPr>
        <w:t xml:space="preserve">time-varying variable</w:t>
      </w:r>
      <w:r>
        <w:t xml:space="preserve"> </w:t>
      </w:r>
      <w:r>
        <w:rPr>
          <w:rStyle w:val="VerbatimChar"/>
        </w:rPr>
        <w:t xml:space="preserve">p_injury_t</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p_injury_t = tbl_p_injury[age_initial + t, 1].</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t xml:space="preserve">Re-run the model using age-specific injury probabilities. How does the expected number of overall and fatal injuries change from when we used the fixed probabilities above?</w:t>
            </w:r>
          </w:p>
        </w:tc>
      </w:tr>
    </w:tbl>
    <w:bookmarkEnd w:id="118"/>
    <w:bookmarkEnd w:id="119"/>
    <w:bookmarkStart w:id="122" w:name="add-regulate-and-ban-scenarios"/>
    <w:p>
      <w:pPr>
        <w:pStyle w:val="Heading1"/>
      </w:pPr>
      <w:r>
        <w:t xml:space="preserve">3. Add Regulate and Ban Scenarios</w:t>
      </w:r>
    </w:p>
    <w:p>
      <w:pPr>
        <w:pStyle w:val="FirstParagraph"/>
      </w:pPr>
      <w:r>
        <w:t xml:space="preserve">As in the Decision Tree case study, please add in two additional strategies that aim to reduce the probability of injury:</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20" name="Picture"/>
                  <a:graphic>
                    <a:graphicData uri="http://schemas.openxmlformats.org/drawingml/2006/picture">
                      <pic:pic>
                        <pic:nvPicPr>
                          <pic:cNvPr descr="/Applications/quarto/share/formats/docx/tip.png" id="121"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Recall that you can</w:t>
            </w:r>
            <w:r>
              <w:t xml:space="preserve"> </w:t>
            </w:r>
            <w:r>
              <w:t xml:space="preserve">“</w:t>
            </w:r>
            <w:r>
              <w:t xml:space="preserve">copy</w:t>
            </w:r>
            <w:r>
              <w:t xml:space="preserve">”</w:t>
            </w:r>
            <w:r>
              <w:t xml:space="preserve"> </w:t>
            </w:r>
            <w:r>
              <w:t xml:space="preserve">and</w:t>
            </w:r>
            <w:r>
              <w:t xml:space="preserve"> </w:t>
            </w:r>
            <w:r>
              <w:t xml:space="preserve">“</w:t>
            </w:r>
            <w:r>
              <w:t xml:space="preserve">paste</w:t>
            </w:r>
            <w:r>
              <w:t xml:space="preserve">”</w:t>
            </w:r>
            <w:r>
              <w:t xml:space="preserve"> </w:t>
            </w:r>
            <w:r>
              <w:t xml:space="preserve">trees to reduce the amount of work you need to do!</w:t>
            </w:r>
          </w:p>
        </w:tc>
      </w:tr>
    </w:tbl>
    <w:tbl>
      <w:tblPr>
        <w:tblStyle w:val="Table"/>
        <w:tblW w:type="pct" w:w="5000"/>
        <w:tblLook w:firstRow="1" w:lastRow="0" w:firstColumn="0" w:lastColumn="0" w:noHBand="0" w:noVBand="0" w:val="0020"/>
        <w:jc w:val="start"/>
        <w:tblLayout w:type="fixed"/>
      </w:tblPr>
      <w:tblGrid>
        <w:gridCol w:w="5627"/>
        <w:gridCol w:w="1181"/>
        <w:gridCol w:w="1111"/>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Relative risk reduction: probability of injury under</w:t>
            </w:r>
            <w:r>
              <w:t xml:space="preserve"> </w:t>
            </w:r>
            <w:r>
              <w:t xml:space="preserve">“</w:t>
            </w:r>
            <w:r>
              <w:t xml:space="preserve">Ban</w:t>
            </w:r>
            <w:r>
              <w:t xml:space="preserve">”</w:t>
            </w:r>
            <w:r>
              <w:t xml:space="preserve"> </w:t>
            </w:r>
            <w:r>
              <w:t xml:space="preserve">policy scenario</w:t>
            </w:r>
          </w:p>
        </w:tc>
        <w:tc>
          <w:tcPr/>
          <w:p>
            <w:pPr>
              <w:pStyle w:val="Compact"/>
              <w:jc w:val="left"/>
            </w:pPr>
            <w:r>
              <w:t xml:space="preserve">0.40</w:t>
            </w:r>
          </w:p>
        </w:tc>
        <w:tc>
          <w:tcPr/>
          <w:p>
            <w:pPr>
              <w:pStyle w:val="Compact"/>
              <w:jc w:val="left"/>
            </w:pPr>
            <w:r>
              <w:t xml:space="preserve">rr_ban</w:t>
            </w:r>
          </w:p>
        </w:tc>
      </w:tr>
      <w:tr>
        <w:tc>
          <w:tcPr/>
          <w:p>
            <w:pPr>
              <w:pStyle w:val="Compact"/>
              <w:jc w:val="left"/>
            </w:pPr>
            <w:r>
              <w:t xml:space="preserve">Relative risk reduction: probability of injury under</w:t>
            </w:r>
            <w:r>
              <w:t xml:space="preserve"> </w:t>
            </w:r>
            <w:r>
              <w:t xml:space="preserve">“</w:t>
            </w:r>
            <w:r>
              <w:t xml:space="preserve">Regulate</w:t>
            </w:r>
            <w:r>
              <w:t xml:space="preserve">”</w:t>
            </w:r>
            <w:r>
              <w:t xml:space="preserve"> </w:t>
            </w:r>
            <w:r>
              <w:t xml:space="preserve">policy scenario</w:t>
            </w:r>
          </w:p>
        </w:tc>
        <w:tc>
          <w:tcPr/>
          <w:p>
            <w:pPr>
              <w:pStyle w:val="Compact"/>
              <w:jc w:val="left"/>
            </w:pPr>
            <w:r>
              <w:t xml:space="preserve">0.80</w:t>
            </w:r>
          </w:p>
        </w:tc>
        <w:tc>
          <w:tcPr/>
          <w:p>
            <w:pPr>
              <w:pStyle w:val="Compact"/>
              <w:jc w:val="left"/>
            </w:pPr>
            <w:r>
              <w:t xml:space="preserve">rr_regulate</w:t>
            </w:r>
          </w:p>
        </w:tc>
      </w:tr>
    </w:tbl>
    <w:bookmarkEnd w:id="122"/>
    <w:bookmarkStart w:id="123" w:name="add-long-term-consequences"/>
    <w:p>
      <w:pPr>
        <w:pStyle w:val="Heading1"/>
      </w:pPr>
      <w:r>
        <w:t xml:space="preserve">4. Add Long-Term Consequences</w:t>
      </w:r>
    </w:p>
    <w:p>
      <w:pPr>
        <w:pStyle w:val="FirstParagraph"/>
      </w:pPr>
      <w:r>
        <w:t xml:space="preserve">Please add in chance nodes (after initial injury) and long-term (Markov chain) health states corresponding to recovery vs. sequelae from the injury:</w:t>
      </w:r>
    </w:p>
    <w:tbl>
      <w:tblPr>
        <w:tblStyle w:val="Table"/>
        <w:tblW w:type="pct" w:w="5000"/>
        <w:tblLook w:firstRow="1" w:lastRow="0" w:firstColumn="0" w:lastColumn="0" w:noHBand="0" w:noVBand="0" w:val="0020"/>
        <w:jc w:val="start"/>
        <w:tblLayout w:type="fixed"/>
      </w:tblPr>
      <w:tblGrid>
        <w:gridCol w:w="4484"/>
        <w:gridCol w:w="1622"/>
        <w:gridCol w:w="1813"/>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Injury is Severe</w:t>
            </w:r>
          </w:p>
        </w:tc>
        <w:tc>
          <w:tcPr/>
          <w:p>
            <w:pPr>
              <w:pStyle w:val="Compact"/>
              <w:jc w:val="left"/>
            </w:pPr>
            <w:r>
              <w:t xml:space="preserve">0.30</w:t>
            </w:r>
          </w:p>
        </w:tc>
        <w:tc>
          <w:tcPr/>
          <w:p>
            <w:pPr>
              <w:pStyle w:val="Compact"/>
              <w:jc w:val="left"/>
            </w:pPr>
            <w:r>
              <w:t xml:space="preserve">p_severe</w:t>
            </w:r>
          </w:p>
        </w:tc>
      </w:tr>
      <w:tr>
        <w:tc>
          <w:tcPr/>
          <w:p>
            <w:pPr>
              <w:pStyle w:val="Compact"/>
              <w:jc w:val="left"/>
            </w:pPr>
            <w:r>
              <w:t xml:space="preserve">Probability Injury is Moderate</w:t>
            </w:r>
          </w:p>
        </w:tc>
        <w:tc>
          <w:tcPr/>
          <w:p>
            <w:pPr>
              <w:pStyle w:val="Compact"/>
              <w:jc w:val="left"/>
            </w:pPr>
            <w:r>
              <w:t xml:space="preserve">0.70</w:t>
            </w:r>
          </w:p>
        </w:tc>
        <w:tc>
          <w:tcPr/>
          <w:p>
            <w:pPr>
              <w:pStyle w:val="Compact"/>
              <w:jc w:val="left"/>
            </w:pPr>
            <w:r>
              <w:t xml:space="preserve">p_fatality</w:t>
            </w:r>
          </w:p>
        </w:tc>
      </w:tr>
      <w:tr>
        <w:tc>
          <w:tcPr/>
          <w:p>
            <w:pPr>
              <w:pStyle w:val="Compact"/>
              <w:jc w:val="left"/>
            </w:pPr>
            <w:r>
              <w:t xml:space="preserve">Probability of Recovery: Mild/Moderate Injury</w:t>
            </w:r>
          </w:p>
        </w:tc>
        <w:tc>
          <w:tcPr/>
          <w:p>
            <w:pPr>
              <w:pStyle w:val="Compact"/>
              <w:jc w:val="left"/>
            </w:pPr>
            <w:r>
              <w:t xml:space="preserve">0.85</w:t>
            </w:r>
          </w:p>
        </w:tc>
        <w:tc>
          <w:tcPr/>
          <w:p>
            <w:pPr>
              <w:pStyle w:val="Compact"/>
              <w:jc w:val="left"/>
            </w:pPr>
            <w:r>
              <w:t xml:space="preserve">p_recover_mildmod</w:t>
            </w:r>
          </w:p>
        </w:tc>
      </w:tr>
      <w:tr>
        <w:tc>
          <w:tcPr/>
          <w:p>
            <w:pPr>
              <w:pStyle w:val="Compact"/>
              <w:jc w:val="left"/>
            </w:pPr>
            <w:r>
              <w:t xml:space="preserve">Probability of Recovery: Major Injury</w:t>
            </w:r>
          </w:p>
        </w:tc>
        <w:tc>
          <w:tcPr/>
          <w:p>
            <w:pPr>
              <w:pStyle w:val="Compact"/>
              <w:jc w:val="left"/>
            </w:pPr>
            <w:r>
              <w:t xml:space="preserve">0.6</w:t>
            </w:r>
          </w:p>
        </w:tc>
        <w:tc>
          <w:tcPr/>
          <w:p>
            <w:pPr>
              <w:pStyle w:val="Compact"/>
              <w:jc w:val="left"/>
            </w:pPr>
            <w:r>
              <w:t xml:space="preserve">p_recover_severe</w:t>
            </w:r>
          </w:p>
        </w:tc>
      </w:tr>
    </w:tbl>
    <w:bookmarkEnd w:id="1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2" Target="media/rId62.png" /><Relationship Type="http://schemas.openxmlformats.org/officeDocument/2006/relationships/image" Id="rId32" Target="media/rId32.png" /><Relationship Type="http://schemas.openxmlformats.org/officeDocument/2006/relationships/image" Id="rId80" Target="media/rId80.png" /><Relationship Type="http://schemas.openxmlformats.org/officeDocument/2006/relationships/image" Id="rId54" Target="media/rId54.png" /><Relationship Type="http://schemas.openxmlformats.org/officeDocument/2006/relationships/image" Id="rId98" Target="media/rId98.png" /><Relationship Type="http://schemas.openxmlformats.org/officeDocument/2006/relationships/image" Id="rId77" Target="media/rId77.png" /><Relationship Type="http://schemas.openxmlformats.org/officeDocument/2006/relationships/image" Id="rId40" Target="media/rId40.png" /><Relationship Type="http://schemas.openxmlformats.org/officeDocument/2006/relationships/image" Id="rId92" Target="media/rId92.png" /><Relationship Type="http://schemas.openxmlformats.org/officeDocument/2006/relationships/image" Id="rId44" Target="media/rId44.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103" Target="media/rId103.png" /><Relationship Type="http://schemas.openxmlformats.org/officeDocument/2006/relationships/image" Id="rId114" Target="media/rId114.png" /><Relationship Type="http://schemas.openxmlformats.org/officeDocument/2006/relationships/image" Id="rId106" Target="media/rId106.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74" Target="media/rId74.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111" Target="https://graveja0.github.io/bogota-vital-strategies/case-studies/cases-by-age.csv"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111" Target="https://graveja0.github.io/bogota-vital-strategies/case-studies/cases-by-age.csv"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2024-06-19T18:51:36Z</dcterms:created>
  <dcterms:modified xsi:type="dcterms:W3CDTF">2024-06-19T18:51:36Z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