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introduction"/>
    <w:p>
      <w:pPr>
        <w:pStyle w:val="Heading1"/>
      </w:pPr>
      <w:r>
        <w:t xml:space="preserve">Introduction</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identifying the most effective approach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Bogotá today.</w:t>
      </w:r>
    </w:p>
    <w:bookmarkEnd w:id="20"/>
    <w:bookmarkStart w:id="22" w:name="model-inputs-and-parameters"/>
    <w:p>
      <w:pPr>
        <w:pStyle w:val="Heading1"/>
      </w:pPr>
      <w:r>
        <w:t xml:space="preserve">Model Inputs and Parameters</w:t>
      </w:r>
    </w:p>
    <w:p>
      <w:pPr>
        <w:pStyle w:val="FirstParagraph"/>
      </w:pPr>
      <w:r>
        <w:t xml:space="preserve">We will assume that reported injuries fall into three major categories:</w:t>
      </w:r>
    </w:p>
    <w:p>
      <w:pPr>
        <w:numPr>
          <w:ilvl w:val="0"/>
          <w:numId w:val="1001"/>
        </w:numPr>
      </w:pPr>
      <w:r>
        <w:rPr>
          <w:bCs/>
          <w:b/>
        </w:rPr>
        <w:t xml:space="preserve">Minor Injury</w:t>
      </w:r>
      <w:r>
        <w:t xml:space="preserve">: first-degree burns, which may cause pain, redness, and minor swelling</w:t>
      </w:r>
    </w:p>
    <w:p>
      <w:pPr>
        <w:numPr>
          <w:ilvl w:val="0"/>
          <w:numId w:val="1001"/>
        </w:numPr>
      </w:pPr>
      <w:r>
        <w:rPr>
          <w:bCs/>
          <w:b/>
        </w:rPr>
        <w:t xml:space="preserve">Moderate Injury</w:t>
      </w:r>
      <w:r>
        <w:t xml:space="preserve">: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pStyle w:val="FirstParagraph"/>
      </w:pPr>
      <w:r>
        <w:t xml:space="preserve">There are very likely many minor or even moderate injuries that go unreported. For this reason, we will assume that minor injuries are a low percentage of</w:t>
      </w:r>
      <w:r>
        <w:t xml:space="preserve"> </w:t>
      </w:r>
      <w:r>
        <w:rPr>
          <w:bCs/>
          <w:b/>
        </w:rPr>
        <w:t xml:space="preserve">reported</w:t>
      </w:r>
      <w:r>
        <w:t xml:space="preserve"> </w:t>
      </w:r>
      <w:r>
        <w:t xml:space="preserve">injuries, but remain the most common type of injury overall.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0.00292</w:t>
            </w:r>
          </w:p>
        </w:tc>
        <w:tc>
          <w:tcPr/>
          <w:p>
            <w:pPr>
              <w:pStyle w:val="Compact"/>
              <w:jc w:val="left"/>
            </w:pPr>
            <w:r>
              <w:t xml:space="preserve">pInjury</w:t>
            </w:r>
          </w:p>
        </w:tc>
      </w:tr>
      <w:tr>
        <w:tc>
          <w:tcPr/>
          <w:p>
            <w:pPr>
              <w:pStyle w:val="Compact"/>
              <w:jc w:val="left"/>
            </w:pPr>
            <w:r>
              <w:t xml:space="preserve">Probability Injury is Mild</w:t>
            </w:r>
          </w:p>
        </w:tc>
        <w:tc>
          <w:tcPr/>
          <w:p>
            <w:pPr>
              <w:pStyle w:val="Compact"/>
              <w:jc w:val="left"/>
            </w:pPr>
            <w:r>
              <w:t xml:space="preserve">0.15</w:t>
            </w:r>
          </w:p>
        </w:tc>
        <w:tc>
          <w:tcPr/>
          <w:p>
            <w:pPr>
              <w:pStyle w:val="Compact"/>
              <w:jc w:val="left"/>
            </w:pPr>
            <w:r>
              <w:t xml:space="preserve">pMinor</w:t>
            </w:r>
          </w:p>
        </w:tc>
      </w:tr>
      <w:tr>
        <w:tc>
          <w:tcPr/>
          <w:p>
            <w:pPr>
              <w:pStyle w:val="Compact"/>
              <w:jc w:val="left"/>
            </w:pPr>
            <w:r>
              <w:t xml:space="preserve">Probability Injury is Moderate</w:t>
            </w:r>
          </w:p>
        </w:tc>
        <w:tc>
          <w:tcPr/>
          <w:p>
            <w:pPr>
              <w:pStyle w:val="Compact"/>
              <w:jc w:val="left"/>
            </w:pPr>
            <w:r>
              <w:t xml:space="preserve">0.3</w:t>
            </w:r>
          </w:p>
        </w:tc>
        <w:tc>
          <w:tcPr/>
          <w:p>
            <w:pPr>
              <w:pStyle w:val="Compact"/>
              <w:jc w:val="left"/>
            </w:pPr>
            <w:r>
              <w:t xml:space="preserve">pModerate</w:t>
            </w:r>
          </w:p>
        </w:tc>
      </w:tr>
      <w:tr>
        <w:tc>
          <w:tcPr/>
          <w:p>
            <w:pPr>
              <w:pStyle w:val="Compact"/>
              <w:jc w:val="left"/>
            </w:pPr>
            <w:r>
              <w:t xml:space="preserve">Probability Injury is Major</w:t>
            </w:r>
          </w:p>
        </w:tc>
        <w:tc>
          <w:tcPr/>
          <w:p>
            <w:pPr>
              <w:pStyle w:val="Compact"/>
              <w:jc w:val="left"/>
            </w:pPr>
            <w:r>
              <w:t xml:space="preserve">0.5</w:t>
            </w:r>
          </w:p>
        </w:tc>
        <w:tc>
          <w:tcPr/>
          <w:p>
            <w:pPr>
              <w:pStyle w:val="Compact"/>
              <w:jc w:val="left"/>
            </w:pPr>
            <w:r>
              <w:t xml:space="preserve">pMajor</w:t>
            </w:r>
          </w:p>
        </w:tc>
      </w:tr>
      <w:tr>
        <w:tc>
          <w:tcPr/>
          <w:p>
            <w:pPr>
              <w:pStyle w:val="Compact"/>
              <w:jc w:val="left"/>
            </w:pPr>
            <w:r>
              <w:t xml:space="preserve">Probability Injury is Fatal</w:t>
            </w:r>
          </w:p>
        </w:tc>
        <w:tc>
          <w:tcPr/>
          <w:p>
            <w:pPr>
              <w:pStyle w:val="Compact"/>
              <w:jc w:val="left"/>
            </w:pPr>
            <w:r>
              <w:t xml:space="preserve">0.05</w:t>
            </w:r>
          </w:p>
        </w:tc>
        <w:tc>
          <w:tcPr/>
          <w:p>
            <w:pPr>
              <w:pStyle w:val="Compact"/>
              <w:jc w:val="left"/>
            </w:pPr>
            <w:r>
              <w:t xml:space="preserve">pFatal</w:t>
            </w:r>
          </w:p>
        </w:tc>
      </w:tr>
    </w:tbl>
    <w:p>
      <w:pPr>
        <w:pStyle w:val="BodyText"/>
      </w:pPr>
      <w:r>
        <w:t xml:space="preserve">We will also assume that nearly all individuals who experience minor injuries recover fully in the year they are injured, while moderate and major injuries have some probability of long-term sequalae with some annual probability of recurrence.</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Minor Injury</w:t>
            </w:r>
          </w:p>
        </w:tc>
        <w:tc>
          <w:tcPr/>
          <w:p>
            <w:pPr>
              <w:pStyle w:val="Compact"/>
              <w:jc w:val="left"/>
            </w:pPr>
            <w:r>
              <w:t xml:space="preserve">0.99</w:t>
            </w:r>
          </w:p>
        </w:tc>
        <w:tc>
          <w:tcPr/>
          <w:p>
            <w:pPr>
              <w:pStyle w:val="Compact"/>
              <w:jc w:val="left"/>
            </w:pPr>
            <w:r>
              <w:t xml:space="preserve">pFullRecoveryMinor</w:t>
            </w:r>
          </w:p>
        </w:tc>
      </w:tr>
      <w:tr>
        <w:tc>
          <w:tcPr/>
          <w:p>
            <w:pPr>
              <w:pStyle w:val="Compact"/>
              <w:jc w:val="left"/>
            </w:pPr>
            <w:r>
              <w:t xml:space="preserve">Probability of Recovery: Moderate Injury</w:t>
            </w:r>
          </w:p>
        </w:tc>
        <w:tc>
          <w:tcPr/>
          <w:p>
            <w:pPr>
              <w:pStyle w:val="Compact"/>
              <w:jc w:val="left"/>
            </w:pPr>
            <w:r>
              <w:t xml:space="preserve">0.50</w:t>
            </w:r>
          </w:p>
        </w:tc>
        <w:tc>
          <w:tcPr/>
          <w:p>
            <w:pPr>
              <w:pStyle w:val="Compact"/>
              <w:jc w:val="left"/>
            </w:pPr>
            <w:r>
              <w:t xml:space="preserve">pFullRecoveryModerate</w:t>
            </w:r>
          </w:p>
        </w:tc>
      </w:tr>
      <w:tr>
        <w:tc>
          <w:tcPr/>
          <w:p>
            <w:pPr>
              <w:pStyle w:val="Compact"/>
              <w:jc w:val="left"/>
            </w:pPr>
            <w:r>
              <w:t xml:space="preserve">Probability of Recovery: Major Injury</w:t>
            </w:r>
          </w:p>
        </w:tc>
        <w:tc>
          <w:tcPr/>
          <w:p>
            <w:pPr>
              <w:pStyle w:val="Compact"/>
              <w:jc w:val="left"/>
            </w:pPr>
            <w:r>
              <w:t xml:space="preserve">0.20</w:t>
            </w:r>
          </w:p>
        </w:tc>
        <w:tc>
          <w:tcPr/>
          <w:p>
            <w:pPr>
              <w:pStyle w:val="Compact"/>
              <w:jc w:val="left"/>
            </w:pPr>
            <w:r>
              <w:t xml:space="preserve">pFullRecoveryMajor</w:t>
            </w:r>
          </w:p>
        </w:tc>
      </w:tr>
    </w:tbl>
    <w:p>
      <w:pPr>
        <w:pStyle w:val="SourceCode"/>
      </w:pPr>
      <w:r>
        <w:rPr>
          <w:rStyle w:val="FunctionTok"/>
        </w:rPr>
        <w:t xml:space="preserve">library</w:t>
      </w:r>
      <w:r>
        <w:rPr>
          <w:rStyle w:val="NormalTok"/>
        </w:rPr>
        <w:t xml:space="preserve">(flextable)</w:t>
      </w:r>
      <w:r>
        <w:br/>
      </w:r>
      <w:r>
        <w:br/>
      </w:r>
      <w:r>
        <w:rPr>
          <w:rStyle w:val="CommentTok"/>
        </w:rPr>
        <w:t xml:space="preserve"># Create a data frame with the data</w:t>
      </w:r>
      <w:r>
        <w:br/>
      </w:r>
      <w:r>
        <w:rPr>
          <w:rStyle w:val="NormalTok"/>
        </w:rPr>
        <w:t xml:space="preserve">firework_data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DecValTok"/>
        </w:rPr>
        <w:t xml:space="preserve">2007</w:t>
      </w:r>
      <w:r>
        <w:rPr>
          <w:rStyle w:val="NormalTok"/>
        </w:rPr>
        <w:t xml:space="preserve">, </w:t>
      </w:r>
      <w:r>
        <w:rPr>
          <w:rStyle w:val="DecValTok"/>
        </w:rPr>
        <w:t xml:space="preserve">2008</w:t>
      </w:r>
      <w:r>
        <w:rPr>
          <w:rStyle w:val="NormalTok"/>
        </w:rPr>
        <w:t xml:space="preserve">, </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2011</w:t>
      </w:r>
      <w:r>
        <w:rPr>
          <w:rStyle w:val="NormalTok"/>
        </w:rPr>
        <w:t xml:space="preserve">, </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Cases =</w:t>
      </w:r>
      <w:r>
        <w:rPr>
          <w:rStyle w:val="NormalTok"/>
        </w:rPr>
        <w:t xml:space="preserve"> </w:t>
      </w:r>
      <w:r>
        <w:rPr>
          <w:rStyle w:val="FunctionTok"/>
        </w:rPr>
        <w:t xml:space="preserve">c</w:t>
      </w:r>
      <w:r>
        <w:rPr>
          <w:rStyle w:val="NormalTok"/>
        </w:rPr>
        <w:t xml:space="preserve">(</w:t>
      </w:r>
      <w:r>
        <w:rPr>
          <w:rStyle w:val="DecValTok"/>
        </w:rPr>
        <w:t xml:space="preserve">275</w:t>
      </w:r>
      <w:r>
        <w:rPr>
          <w:rStyle w:val="NormalTok"/>
        </w:rPr>
        <w:t xml:space="preserve">, </w:t>
      </w:r>
      <w:r>
        <w:rPr>
          <w:rStyle w:val="DecValTok"/>
        </w:rPr>
        <w:t xml:space="preserve">754</w:t>
      </w:r>
      <w:r>
        <w:rPr>
          <w:rStyle w:val="NormalTok"/>
        </w:rPr>
        <w:t xml:space="preserve">, </w:t>
      </w:r>
      <w:r>
        <w:rPr>
          <w:rStyle w:val="DecValTok"/>
        </w:rPr>
        <w:t xml:space="preserve">812</w:t>
      </w:r>
      <w:r>
        <w:rPr>
          <w:rStyle w:val="NormalTok"/>
        </w:rPr>
        <w:t xml:space="preserve">, </w:t>
      </w:r>
      <w:r>
        <w:rPr>
          <w:rStyle w:val="DecValTok"/>
        </w:rPr>
        <w:t xml:space="preserve">1061</w:t>
      </w:r>
      <w:r>
        <w:rPr>
          <w:rStyle w:val="NormalTok"/>
        </w:rPr>
        <w:t xml:space="preserve">, </w:t>
      </w:r>
      <w:r>
        <w:rPr>
          <w:rStyle w:val="DecValTok"/>
        </w:rPr>
        <w:t xml:space="preserve">1096</w:t>
      </w:r>
      <w:r>
        <w:rPr>
          <w:rStyle w:val="NormalTok"/>
        </w:rPr>
        <w:t xml:space="preserve">, </w:t>
      </w:r>
      <w:r>
        <w:rPr>
          <w:rStyle w:val="DecValTok"/>
        </w:rPr>
        <w:t xml:space="preserve">1351</w:t>
      </w:r>
      <w:r>
        <w:rPr>
          <w:rStyle w:val="NormalTok"/>
        </w:rPr>
        <w:t xml:space="preserve">, </w:t>
      </w:r>
      <w:r>
        <w:rPr>
          <w:rStyle w:val="DecValTok"/>
        </w:rPr>
        <w:t xml:space="preserve">1407</w:t>
      </w:r>
      <w:r>
        <w:rPr>
          <w:rStyle w:val="NormalTok"/>
        </w:rPr>
        <w:t xml:space="preserve">, </w:t>
      </w:r>
      <w:r>
        <w:rPr>
          <w:rStyle w:val="DecValTok"/>
        </w:rPr>
        <w:t xml:space="preserve">848</w:t>
      </w:r>
      <w:r>
        <w:rPr>
          <w:rStyle w:val="NormalTok"/>
        </w:rPr>
        <w:t xml:space="preserve">, </w:t>
      </w:r>
      <w:r>
        <w:rPr>
          <w:rStyle w:val="DecValTok"/>
        </w:rPr>
        <w:t xml:space="preserve">2012</w:t>
      </w:r>
      <w:r>
        <w:rPr>
          <w:rStyle w:val="NormalTok"/>
        </w:rPr>
        <w:t xml:space="preserve">, </w:t>
      </w:r>
      <w:r>
        <w:rPr>
          <w:rStyle w:val="DecValTok"/>
        </w:rPr>
        <w:t xml:space="preserve">1469</w:t>
      </w:r>
      <w:r>
        <w:rPr>
          <w:rStyle w:val="NormalTok"/>
        </w:rPr>
        <w:t xml:space="preserve">, </w:t>
      </w:r>
      <w:r>
        <w:rPr>
          <w:rStyle w:val="DecValTok"/>
        </w:rPr>
        <w:t xml:space="preserve">1778</w:t>
      </w:r>
      <w:r>
        <w:rPr>
          <w:rStyle w:val="NormalTok"/>
        </w:rPr>
        <w:t xml:space="preserve">, </w:t>
      </w:r>
      <w:r>
        <w:rPr>
          <w:rStyle w:val="DecValTok"/>
        </w:rPr>
        <w:t xml:space="preserve">1477</w:t>
      </w:r>
      <w:r>
        <w:rPr>
          <w:rStyle w:val="NormalTok"/>
        </w:rPr>
        <w:t xml:space="preserve">, </w:t>
      </w:r>
      <w:r>
        <w:rPr>
          <w:rStyle w:val="DecValTok"/>
        </w:rPr>
        <w:t xml:space="preserve">1378</w:t>
      </w:r>
      <w:r>
        <w:rPr>
          <w:rStyle w:val="NormalTok"/>
        </w:rPr>
        <w:t xml:space="preserve">, </w:t>
      </w:r>
      <w:r>
        <w:rPr>
          <w:rStyle w:val="DecValTok"/>
        </w:rPr>
        <w:t xml:space="preserve">1504</w:t>
      </w:r>
      <w:r>
        <w:rPr>
          <w:rStyle w:val="NormalTok"/>
        </w:rPr>
        <w:t xml:space="preserve">, </w:t>
      </w:r>
      <w:r>
        <w:rPr>
          <w:rStyle w:val="DecValTok"/>
        </w:rPr>
        <w:t xml:space="preserve">1694</w:t>
      </w:r>
      <w:r>
        <w:rPr>
          <w:rStyle w:val="NormalTok"/>
        </w:rPr>
        <w:t xml:space="preserve">, </w:t>
      </w:r>
      <w:r>
        <w:rPr>
          <w:rStyle w:val="DecValTok"/>
        </w:rPr>
        <w:t xml:space="preserve">1510</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c</w:t>
      </w:r>
      <w:r>
        <w:rPr>
          <w:rStyle w:val="NormalTok"/>
        </w:rPr>
        <w:t xml:space="preserve">(</w:t>
      </w:r>
      <w:r>
        <w:rPr>
          <w:rStyle w:val="DecValTok"/>
        </w:rPr>
        <w:t xml:space="preserve">42658630</w:t>
      </w:r>
      <w:r>
        <w:rPr>
          <w:rStyle w:val="NormalTok"/>
        </w:rPr>
        <w:t xml:space="preserve">, </w:t>
      </w:r>
      <w:r>
        <w:rPr>
          <w:rStyle w:val="DecValTok"/>
        </w:rPr>
        <w:t xml:space="preserve">43134017</w:t>
      </w:r>
      <w:r>
        <w:rPr>
          <w:rStyle w:val="NormalTok"/>
        </w:rPr>
        <w:t xml:space="preserve">, </w:t>
      </w:r>
      <w:r>
        <w:rPr>
          <w:rStyle w:val="DecValTok"/>
        </w:rPr>
        <w:t xml:space="preserve">43608630</w:t>
      </w:r>
      <w:r>
        <w:rPr>
          <w:rStyle w:val="NormalTok"/>
        </w:rPr>
        <w:t xml:space="preserve">, </w:t>
      </w:r>
      <w:r>
        <w:rPr>
          <w:rStyle w:val="DecValTok"/>
        </w:rPr>
        <w:t xml:space="preserve">44086292</w:t>
      </w:r>
      <w:r>
        <w:rPr>
          <w:rStyle w:val="NormalTok"/>
        </w:rPr>
        <w:t xml:space="preserve">, </w:t>
      </w:r>
      <w:r>
        <w:rPr>
          <w:rStyle w:val="DecValTok"/>
        </w:rPr>
        <w:t xml:space="preserve">44553416</w:t>
      </w:r>
      <w:r>
        <w:rPr>
          <w:rStyle w:val="NormalTok"/>
        </w:rPr>
        <w:t xml:space="preserve">, </w:t>
      </w:r>
      <w:r>
        <w:rPr>
          <w:rStyle w:val="DecValTok"/>
        </w:rPr>
        <w:t xml:space="preserve">45001731</w:t>
      </w:r>
      <w:r>
        <w:rPr>
          <w:rStyle w:val="NormalTok"/>
        </w:rPr>
        <w:t xml:space="preserve">, </w:t>
      </w:r>
      <w:r>
        <w:rPr>
          <w:rStyle w:val="DecValTok"/>
        </w:rPr>
        <w:t xml:space="preserve">45434492</w:t>
      </w:r>
      <w:r>
        <w:rPr>
          <w:rStyle w:val="NormalTok"/>
        </w:rPr>
        <w:t xml:space="preserve">, </w:t>
      </w:r>
      <w:r>
        <w:rPr>
          <w:rStyle w:val="DecValTok"/>
        </w:rPr>
        <w:t xml:space="preserve">46301316</w:t>
      </w:r>
      <w:r>
        <w:rPr>
          <w:rStyle w:val="NormalTok"/>
        </w:rPr>
        <w:t xml:space="preserve">, </w:t>
      </w:r>
      <w:r>
        <w:rPr>
          <w:rStyle w:val="DecValTok"/>
        </w:rPr>
        <w:t xml:space="preserve">43183988</w:t>
      </w:r>
      <w:r>
        <w:rPr>
          <w:rStyle w:val="NormalTok"/>
        </w:rPr>
        <w:t xml:space="preserve">, </w:t>
      </w:r>
      <w:r>
        <w:rPr>
          <w:rStyle w:val="DecValTok"/>
        </w:rPr>
        <w:t xml:space="preserve">46301316</w:t>
      </w:r>
      <w:r>
        <w:rPr>
          <w:rStyle w:val="NormalTok"/>
        </w:rPr>
        <w:t xml:space="preserve">, </w:t>
      </w:r>
      <w:r>
        <w:rPr>
          <w:rStyle w:val="DecValTok"/>
        </w:rPr>
        <w:t xml:space="preserve">47419000</w:t>
      </w:r>
      <w:r>
        <w:rPr>
          <w:rStyle w:val="NormalTok"/>
        </w:rPr>
        <w:t xml:space="preserve">, </w:t>
      </w:r>
      <w:r>
        <w:rPr>
          <w:rStyle w:val="DecValTok"/>
        </w:rPr>
        <w:t xml:space="preserve">48259442</w:t>
      </w:r>
      <w:r>
        <w:rPr>
          <w:rStyle w:val="NormalTok"/>
        </w:rPr>
        <w:t xml:space="preserve">, </w:t>
      </w:r>
      <w:r>
        <w:rPr>
          <w:rStyle w:val="DecValTok"/>
        </w:rPr>
        <w:t xml:space="preserve">49269676</w:t>
      </w:r>
      <w:r>
        <w:rPr>
          <w:rStyle w:val="NormalTok"/>
        </w:rPr>
        <w:t xml:space="preserve">, </w:t>
      </w:r>
      <w:r>
        <w:rPr>
          <w:rStyle w:val="DecValTok"/>
        </w:rPr>
        <w:t xml:space="preserve">50407437</w:t>
      </w:r>
      <w:r>
        <w:rPr>
          <w:rStyle w:val="NormalTok"/>
        </w:rPr>
        <w:t xml:space="preserve">, </w:t>
      </w:r>
      <w:r>
        <w:rPr>
          <w:rStyle w:val="DecValTok"/>
        </w:rPr>
        <w:t xml:space="preserve">51177378</w:t>
      </w:r>
      <w:r>
        <w:rPr>
          <w:rStyle w:val="NormalTok"/>
        </w:rPr>
        <w:t xml:space="preserve">, </w:t>
      </w:r>
      <w:r>
        <w:rPr>
          <w:rStyle w:val="DecValTok"/>
        </w:rPr>
        <w:t xml:space="preserve">51826932</w:t>
      </w:r>
      <w:r>
        <w:rPr>
          <w:rStyle w:val="NormalTok"/>
        </w:rPr>
        <w:t xml:space="preserve">),</w:t>
      </w:r>
      <w:r>
        <w:br/>
      </w:r>
      <w:r>
        <w:rPr>
          <w:rStyle w:val="NormalTok"/>
        </w:rPr>
        <w:t xml:space="preserve">  </w:t>
      </w:r>
      <w:r>
        <w:rPr>
          <w:rStyle w:val="StringTok"/>
        </w:rPr>
        <w:t xml:space="preserve">`</w:t>
      </w:r>
      <w:r>
        <w:rPr>
          <w:rStyle w:val="AttributeTok"/>
        </w:rPr>
        <w:t xml:space="preserve">Rate per 100,000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0.64</w:t>
      </w:r>
      <w:r>
        <w:rPr>
          <w:rStyle w:val="NormalTok"/>
        </w:rPr>
        <w:t xml:space="preserve">, </w:t>
      </w:r>
      <w:r>
        <w:rPr>
          <w:rStyle w:val="FloatTok"/>
        </w:rPr>
        <w:t xml:space="preserve">1.75</w:t>
      </w:r>
      <w:r>
        <w:rPr>
          <w:rStyle w:val="NormalTok"/>
        </w:rPr>
        <w:t xml:space="preserve">, </w:t>
      </w:r>
      <w:r>
        <w:rPr>
          <w:rStyle w:val="FloatTok"/>
        </w:rPr>
        <w:t xml:space="preserve">1.86</w:t>
      </w:r>
      <w:r>
        <w:rPr>
          <w:rStyle w:val="NormalTok"/>
        </w:rPr>
        <w:t xml:space="preserve">, </w:t>
      </w:r>
      <w:r>
        <w:rPr>
          <w:rStyle w:val="FloatTok"/>
        </w:rPr>
        <w:t xml:space="preserve">2.41</w:t>
      </w:r>
      <w:r>
        <w:rPr>
          <w:rStyle w:val="NormalTok"/>
        </w:rPr>
        <w:t xml:space="preserve">, </w:t>
      </w:r>
      <w:r>
        <w:rPr>
          <w:rStyle w:val="FloatTok"/>
        </w:rPr>
        <w:t xml:space="preserve">2.46</w:t>
      </w:r>
      <w:r>
        <w:rPr>
          <w:rStyle w:val="NormalTok"/>
        </w:rPr>
        <w:t xml:space="preserve">, </w:t>
      </w:r>
      <w:r>
        <w:rPr>
          <w:rStyle w:val="FloatTok"/>
        </w:rPr>
        <w:t xml:space="preserve">3.00</w:t>
      </w:r>
      <w:r>
        <w:rPr>
          <w:rStyle w:val="NormalTok"/>
        </w:rPr>
        <w:t xml:space="preserve">, </w:t>
      </w:r>
      <w:r>
        <w:rPr>
          <w:rStyle w:val="FloatTok"/>
        </w:rPr>
        <w:t xml:space="preserve">3.10</w:t>
      </w:r>
      <w:r>
        <w:rPr>
          <w:rStyle w:val="NormalTok"/>
        </w:rPr>
        <w:t xml:space="preserve">, </w:t>
      </w:r>
      <w:r>
        <w:rPr>
          <w:rStyle w:val="FloatTok"/>
        </w:rPr>
        <w:t xml:space="preserve">1.83</w:t>
      </w:r>
      <w:r>
        <w:rPr>
          <w:rStyle w:val="NormalTok"/>
        </w:rPr>
        <w:t xml:space="preserve">, </w:t>
      </w:r>
      <w:r>
        <w:rPr>
          <w:rStyle w:val="FloatTok"/>
        </w:rPr>
        <w:t xml:space="preserve">4.31</w:t>
      </w:r>
      <w:r>
        <w:rPr>
          <w:rStyle w:val="NormalTok"/>
        </w:rPr>
        <w:t xml:space="preserve">, </w:t>
      </w:r>
      <w:r>
        <w:rPr>
          <w:rStyle w:val="FloatTok"/>
        </w:rPr>
        <w:t xml:space="preserve">3.17</w:t>
      </w:r>
      <w:r>
        <w:rPr>
          <w:rStyle w:val="NormalTok"/>
        </w:rPr>
        <w:t xml:space="preserve">, </w:t>
      </w:r>
      <w:r>
        <w:rPr>
          <w:rStyle w:val="FloatTok"/>
        </w:rPr>
        <w:t xml:space="preserve">3.75</w:t>
      </w:r>
      <w:r>
        <w:rPr>
          <w:rStyle w:val="NormalTok"/>
        </w:rPr>
        <w:t xml:space="preserve">, </w:t>
      </w:r>
      <w:r>
        <w:rPr>
          <w:rStyle w:val="FloatTok"/>
        </w:rPr>
        <w:t xml:space="preserve">3.06</w:t>
      </w:r>
      <w:r>
        <w:rPr>
          <w:rStyle w:val="NormalTok"/>
        </w:rPr>
        <w:t xml:space="preserve">, </w:t>
      </w:r>
      <w:r>
        <w:rPr>
          <w:rStyle w:val="FloatTok"/>
        </w:rPr>
        <w:t xml:space="preserve">2.80</w:t>
      </w:r>
      <w:r>
        <w:rPr>
          <w:rStyle w:val="NormalTok"/>
        </w:rPr>
        <w:t xml:space="preserve">, </w:t>
      </w:r>
      <w:r>
        <w:rPr>
          <w:rStyle w:val="FloatTok"/>
        </w:rPr>
        <w:t xml:space="preserve">2.98</w:t>
      </w:r>
      <w:r>
        <w:rPr>
          <w:rStyle w:val="NormalTok"/>
        </w:rPr>
        <w:t xml:space="preserve">, </w:t>
      </w:r>
      <w:r>
        <w:rPr>
          <w:rStyle w:val="FloatTok"/>
        </w:rPr>
        <w:t xml:space="preserve">3.31</w:t>
      </w:r>
      <w:r>
        <w:rPr>
          <w:rStyle w:val="NormalTok"/>
        </w:rPr>
        <w:t xml:space="preserve">, </w:t>
      </w:r>
      <w:r>
        <w:rPr>
          <w:rStyle w:val="FloatTok"/>
        </w:rPr>
        <w:t xml:space="preserve">2.92</w:t>
      </w:r>
      <w:r>
        <w:rPr>
          <w:rStyle w:val="NormalTok"/>
        </w:rPr>
        <w:t xml:space="preserve">)</w:t>
      </w:r>
      <w:r>
        <w:br/>
      </w:r>
      <w:r>
        <w:rPr>
          <w:rStyle w:val="NormalTok"/>
        </w:rPr>
        <w:t xml:space="preserve">)</w:t>
      </w:r>
      <w:r>
        <w:br/>
      </w:r>
      <w:r>
        <w:br/>
      </w:r>
      <w:r>
        <w:rPr>
          <w:rStyle w:val="CommentTok"/>
        </w:rPr>
        <w:t xml:space="preserve"># Create the flextable</w:t>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w:t>
      </w:r>
      <w:r>
        <w:rPr>
          <w:rStyle w:val="FunctionTok"/>
        </w:rPr>
        <w:t xml:space="preserve">tail</w:t>
      </w:r>
      <w:r>
        <w:rPr>
          <w:rStyle w:val="NormalTok"/>
        </w:rPr>
        <w:t xml:space="preserve">(firework_data ))</w:t>
      </w:r>
      <w:r>
        <w:br/>
      </w:r>
      <w:r>
        <w:br/>
      </w:r>
      <w:r>
        <w:rPr>
          <w:rStyle w:val="CommentTok"/>
        </w:rPr>
        <w:t xml:space="preserve"># Print the flextable</w:t>
      </w:r>
      <w:r>
        <w:br/>
      </w:r>
      <w:r>
        <w:rPr>
          <w:rStyle w:val="NormalTok"/>
        </w:rPr>
        <w:t xml:space="preserve">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p>
      <w:pPr>
        <w:pStyle w:val="TableCaption"/>
      </w:pPr>
      <w:r>
        <w:t xml:space="preserve">Decision Tree Parameters</w:t>
      </w:r>
    </w:p>
    <w:tbl>
      <w:tblPr>
        <w:tblStyle w:val="Table"/>
        <w:tblW w:type="pct" w:w="5000"/>
        <w:tblLook w:firstRow="1" w:lastRow="0" w:firstColumn="0" w:lastColumn="0" w:noHBand="0" w:noVBand="0" w:val="0020"/>
        <w:jc w:val="start"/>
        <w:tblLayout w:type="fixed"/>
        <w:tblCaption w:val="Decision Tree Parameters"/>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Firework Ban: Relative Risk of Minor Injury</w:t>
            </w:r>
          </w:p>
        </w:tc>
        <w:tc>
          <w:tcPr/>
          <w:p>
            <w:pPr>
              <w:pStyle w:val="Compact"/>
              <w:jc w:val="left"/>
            </w:pPr>
            <w:r>
              <w:t xml:space="preserve">0.5</w:t>
            </w:r>
          </w:p>
        </w:tc>
        <w:tc>
          <w:tcPr/>
          <w:p>
            <w:pPr>
              <w:pStyle w:val="Compact"/>
              <w:jc w:val="left"/>
            </w:pPr>
            <w:r>
              <w:t xml:space="preserve">rrMinorBan</w:t>
            </w:r>
          </w:p>
        </w:tc>
      </w:tr>
      <w:tr>
        <w:tc>
          <w:tcPr/>
          <w:p>
            <w:pPr>
              <w:pStyle w:val="Compact"/>
              <w:jc w:val="left"/>
            </w:pPr>
            <w:r>
              <w:t xml:space="preserve">Firework Ban: Relative Risk of Moderate Injury</w:t>
            </w:r>
          </w:p>
        </w:tc>
        <w:tc>
          <w:tcPr/>
          <w:p>
            <w:pPr>
              <w:pStyle w:val="Compact"/>
              <w:jc w:val="left"/>
            </w:pPr>
            <w:r>
              <w:t xml:space="preserve">0.2</w:t>
            </w:r>
          </w:p>
        </w:tc>
        <w:tc>
          <w:tcPr/>
          <w:p>
            <w:pPr>
              <w:pStyle w:val="Compact"/>
              <w:jc w:val="left"/>
            </w:pPr>
            <w:r>
              <w:t xml:space="preserve">rrModerateBan</w:t>
            </w:r>
          </w:p>
        </w:tc>
      </w:tr>
      <w:tr>
        <w:tc>
          <w:tcPr/>
          <w:p>
            <w:pPr>
              <w:pStyle w:val="Compact"/>
              <w:jc w:val="left"/>
            </w:pPr>
            <w:r>
              <w:t xml:space="preserve">Firework Ban: Relative Risk of Major Injury</w:t>
            </w:r>
          </w:p>
        </w:tc>
        <w:tc>
          <w:tcPr/>
          <w:p>
            <w:pPr>
              <w:pStyle w:val="Compact"/>
              <w:jc w:val="left"/>
            </w:pPr>
            <w:r>
              <w:t xml:space="preserve">0.9</w:t>
            </w:r>
          </w:p>
        </w:tc>
        <w:tc>
          <w:tcPr/>
          <w:p>
            <w:pPr>
              <w:pStyle w:val="Compact"/>
              <w:jc w:val="left"/>
            </w:pPr>
            <w:r>
              <w:t xml:space="preserve">rrMajorBan</w:t>
            </w:r>
          </w:p>
        </w:tc>
      </w:tr>
      <w:tr>
        <w:tc>
          <w:tcPr/>
          <w:p>
            <w:pPr>
              <w:pStyle w:val="Compact"/>
              <w:jc w:val="left"/>
            </w:pPr>
            <w:r>
              <w:t xml:space="preserve">Firework Ban: Relative Risk of Fatal Injury</w:t>
            </w:r>
          </w:p>
        </w:tc>
        <w:tc>
          <w:tcPr/>
          <w:p>
            <w:pPr>
              <w:pStyle w:val="Compact"/>
              <w:jc w:val="left"/>
            </w:pPr>
            <w:r>
              <w:t xml:space="preserve">0.95</w:t>
            </w:r>
          </w:p>
        </w:tc>
        <w:tc>
          <w:tcPr/>
          <w:p>
            <w:pPr>
              <w:pStyle w:val="Compact"/>
              <w:jc w:val="left"/>
            </w:pPr>
            <w:r>
              <w:t xml:space="preserve">rrFatalBan</w:t>
            </w:r>
          </w:p>
        </w:tc>
      </w:tr>
      <w:tr>
        <w:tc>
          <w:tcPr/>
          <w:p>
            <w:pPr>
              <w:pStyle w:val="Compact"/>
              <w:jc w:val="left"/>
            </w:pPr>
            <w:r>
              <w:t xml:space="preserve">Firework Regulation: Relative Risk of Minor Injury</w:t>
            </w:r>
          </w:p>
        </w:tc>
        <w:tc>
          <w:tcPr/>
          <w:p>
            <w:pPr>
              <w:pStyle w:val="Compact"/>
              <w:jc w:val="left"/>
            </w:pPr>
            <w:r>
              <w:t xml:space="preserve">0.7</w:t>
            </w:r>
          </w:p>
        </w:tc>
        <w:tc>
          <w:tcPr/>
          <w:p>
            <w:pPr>
              <w:pStyle w:val="Compact"/>
              <w:jc w:val="left"/>
            </w:pPr>
            <w:r>
              <w:t xml:space="preserve">rrMinorBan</w:t>
            </w:r>
          </w:p>
        </w:tc>
      </w:tr>
      <w:tr>
        <w:tc>
          <w:tcPr/>
          <w:p>
            <w:pPr>
              <w:pStyle w:val="Compact"/>
              <w:jc w:val="left"/>
            </w:pPr>
            <w:r>
              <w:t xml:space="preserve">Firework Regulation: Relative Risk of Moderate Injury</w:t>
            </w:r>
          </w:p>
        </w:tc>
        <w:tc>
          <w:tcPr/>
          <w:p>
            <w:pPr>
              <w:pStyle w:val="Compact"/>
              <w:jc w:val="left"/>
            </w:pPr>
            <w:r>
              <w:t xml:space="preserve">0.5</w:t>
            </w:r>
          </w:p>
        </w:tc>
        <w:tc>
          <w:tcPr/>
          <w:p>
            <w:pPr>
              <w:pStyle w:val="Compact"/>
              <w:jc w:val="left"/>
            </w:pPr>
            <w:r>
              <w:t xml:space="preserve">rrModerateBan</w:t>
            </w:r>
          </w:p>
        </w:tc>
      </w:tr>
      <w:tr>
        <w:tc>
          <w:tcPr/>
          <w:p>
            <w:pPr>
              <w:pStyle w:val="Compact"/>
              <w:jc w:val="left"/>
            </w:pPr>
            <w:r>
              <w:t xml:space="preserve">Firework Regulation: Relative Risk of Major Injury</w:t>
            </w:r>
          </w:p>
        </w:tc>
        <w:tc>
          <w:tcPr/>
          <w:p>
            <w:pPr>
              <w:pStyle w:val="Compact"/>
              <w:jc w:val="left"/>
            </w:pPr>
            <w:r>
              <w:t xml:space="preserve">0.95</w:t>
            </w:r>
          </w:p>
        </w:tc>
        <w:tc>
          <w:tcPr/>
          <w:p>
            <w:pPr>
              <w:pStyle w:val="Compact"/>
              <w:jc w:val="left"/>
            </w:pPr>
            <w:r>
              <w:t xml:space="preserve">rrMajorBan</w:t>
            </w:r>
          </w:p>
        </w:tc>
      </w:tr>
      <w:tr>
        <w:tc>
          <w:tcPr/>
          <w:p>
            <w:pPr>
              <w:pStyle w:val="Compact"/>
              <w:jc w:val="left"/>
            </w:pPr>
            <w:r>
              <w:t xml:space="preserve">Firework Regulation: Relative Risk of Fatal Injury</w:t>
            </w:r>
          </w:p>
        </w:tc>
        <w:tc>
          <w:tcPr/>
          <w:p>
            <w:pPr>
              <w:pStyle w:val="Compact"/>
              <w:jc w:val="left"/>
            </w:pPr>
            <w:r>
              <w:t xml:space="preserve">0.98</w:t>
            </w:r>
          </w:p>
        </w:tc>
        <w:tc>
          <w:tcPr/>
          <w:p>
            <w:pPr>
              <w:pStyle w:val="Compact"/>
              <w:jc w:val="left"/>
            </w:pPr>
            <w:r>
              <w:t xml:space="preserve">rrFatalBan</w:t>
            </w:r>
          </w:p>
        </w:tc>
      </w:tr>
      <w:tr>
        <w:tc>
          <w:tcPr/>
          <w:p>
            <w:pPr>
              <w:pStyle w:val="Compact"/>
            </w:pPr>
          </w:p>
        </w:tc>
        <w:tc>
          <w:tcPr/>
          <w:p>
            <w:pPr>
              <w:pStyle w:val="Compact"/>
            </w:pPr>
          </w:p>
        </w:tc>
        <w:tc>
          <w:tcPr/>
          <w:p>
            <w:pPr>
              <w:pStyle w:val="Compact"/>
            </w:pPr>
          </w:p>
        </w:tc>
      </w:tr>
    </w:tbl>
    <w:p>
      <w:pPr>
        <w:pStyle w:val="BodyText"/>
      </w:pPr>
      <w:r>
        <w:rPr>
          <w:bCs/>
          <w:b/>
        </w:rPr>
        <w:t xml:space="preserve">Minor Injuries</w:t>
      </w:r>
    </w:p>
    <w:p>
      <w:pPr>
        <w:numPr>
          <w:ilvl w:val="0"/>
          <w:numId w:val="1002"/>
        </w:numPr>
        <w:pStyle w:val="Compact"/>
      </w:pPr>
      <w:r>
        <w:t xml:space="preserve">Up-front: $100 (simple first aid) to $500 (doctor visits and medications)</w:t>
      </w:r>
    </w:p>
    <w:p>
      <w:pPr>
        <w:numPr>
          <w:ilvl w:val="0"/>
          <w:numId w:val="1002"/>
        </w:numPr>
        <w:pStyle w:val="Compact"/>
      </w:pPr>
      <w:r>
        <w:t xml:space="preserve">Annual: $0</w:t>
      </w:r>
    </w:p>
    <w:p>
      <w:pPr>
        <w:pStyle w:val="FirstParagraph"/>
      </w:pPr>
      <w:r>
        <w:rPr>
          <w:bCs/>
          <w:b/>
        </w:rPr>
        <w:t xml:space="preserve">Moderate Injuries</w:t>
      </w:r>
    </w:p>
    <w:p>
      <w:pPr>
        <w:numPr>
          <w:ilvl w:val="0"/>
          <w:numId w:val="1003"/>
        </w:numPr>
        <w:pStyle w:val="Compact"/>
      </w:pPr>
      <w:r>
        <w:t xml:space="preserve">Up-front: $1,000 (outpatient treatment) to $5,000 (minor surgery, stitches)</w:t>
      </w:r>
    </w:p>
    <w:p>
      <w:pPr>
        <w:numPr>
          <w:ilvl w:val="0"/>
          <w:numId w:val="1003"/>
        </w:numPr>
        <w:pStyle w:val="Compact"/>
      </w:pPr>
      <w:r>
        <w:t xml:space="preserve">Annual: $0</w:t>
      </w:r>
    </w:p>
    <w:p>
      <w:pPr>
        <w:pStyle w:val="FirstParagraph"/>
      </w:pPr>
      <w:r>
        <w:rPr>
          <w:bCs/>
          <w:b/>
        </w:rPr>
        <w:t xml:space="preserve">Major Injuries</w:t>
      </w:r>
    </w:p>
    <w:p>
      <w:pPr>
        <w:numPr>
          <w:ilvl w:val="0"/>
          <w:numId w:val="1004"/>
        </w:numPr>
        <w:pStyle w:val="Compact"/>
      </w:pPr>
      <w:r>
        <w:t xml:space="preserve">Up-front: $10,000 (initial hospitalization) to $50,000+ (multiple surgeries, ICU)</w:t>
      </w:r>
    </w:p>
    <w:p>
      <w:pPr>
        <w:numPr>
          <w:ilvl w:val="0"/>
          <w:numId w:val="1004"/>
        </w:numPr>
        <w:pStyle w:val="Compact"/>
      </w:pPr>
      <w:r>
        <w:t xml:space="preserve">Annual: $1,000 - $10,000 for rehabilitation, follow-up surgeries, and long-term care</w:t>
      </w:r>
    </w:p>
    <w:bookmarkStart w:id="21" w:name="scratch"/>
    <w:p>
      <w:pPr>
        <w:pStyle w:val="Heading2"/>
      </w:pPr>
      <w:r>
        <w:t xml:space="preserve">Scratch</w:t>
      </w:r>
    </w:p>
    <w:p>
      <w:pPr>
        <w:pStyle w:val="FirstParagraph"/>
      </w:pPr>
      <w:r>
        <w:t xml:space="preserve">In Amua, on the menu at the top, go to</w:t>
      </w:r>
      <w:r>
        <w:t xml:space="preserve"> </w:t>
      </w:r>
      <w:r>
        <w:rPr>
          <w:bCs/>
          <w:b/>
        </w:rPr>
        <w:t xml:space="preserve">Model</w:t>
      </w:r>
      <w:r>
        <w:t xml:space="preserve"> </w:t>
      </w:r>
      <w:r>
        <w:t xml:space="preserve">-&gt;</w:t>
      </w:r>
      <w:r>
        <w:t xml:space="preserve"> </w:t>
      </w:r>
      <w:r>
        <w:rPr>
          <w:bCs/>
          <w:b/>
        </w:rPr>
        <w:t xml:space="preserve">New</w:t>
      </w:r>
      <w:r>
        <w:t xml:space="preserve"> </w:t>
      </w:r>
      <w:r>
        <w:t xml:space="preserve">-&gt;  </w:t>
      </w:r>
      <w:r>
        <w:rPr>
          <w:bCs/>
          <w:b/>
        </w:rPr>
        <w:t xml:space="preserve">Decision Tree</w:t>
      </w:r>
      <w:r>
        <w:t xml:space="preserve">. This will create a new model with a single decision node</w:t>
      </w:r>
      <w:r>
        <w:t xml:space="preserve"> </w:t>
      </w:r>
      <w:r>
        <w:t xml:space="preserve"> </w:t>
      </w:r>
      <w:r>
        <w:t xml:space="preserve">on the left side of the screen.</w:t>
      </w:r>
    </w:p>
    <w:p>
      <w:pPr>
        <w:numPr>
          <w:ilvl w:val="0"/>
          <w:numId w:val="1005"/>
        </w:numPr>
      </w:pPr>
      <w:r>
        <w:t xml:space="preserve">Decision Node</w:t>
      </w:r>
      <w:r>
        <w:t xml:space="preserve"> </w:t>
      </w:r>
    </w:p>
    <w:p>
      <w:pPr>
        <w:numPr>
          <w:ilvl w:val="0"/>
          <w:numId w:val="1005"/>
        </w:numPr>
      </w:pPr>
      <w:r>
        <w:t xml:space="preserve">Plus</w:t>
      </w:r>
      <w:r>
        <w:t xml:space="preserve"> </w:t>
      </w:r>
    </w:p>
    <w:p>
      <w:pPr>
        <w:numPr>
          <w:ilvl w:val="0"/>
          <w:numId w:val="1005"/>
        </w:numPr>
      </w:pPr>
      <w:r>
        <w:t xml:space="preserve">Align right</w:t>
      </w:r>
      <w:r>
        <w:t xml:space="preserve"> </w:t>
      </w:r>
    </w:p>
    <w:p>
      <w:pPr>
        <w:numPr>
          <w:ilvl w:val="0"/>
          <w:numId w:val="1005"/>
        </w:numPr>
      </w:pPr>
      <w:r>
        <w:t xml:space="preserve">Run Model</w:t>
      </w:r>
      <w:r>
        <w:t xml:space="preserve"> </w:t>
      </w:r>
    </w:p>
    <w:p>
      <w:pPr>
        <w:numPr>
          <w:ilvl w:val="0"/>
          <w:numId w:val="1005"/>
        </w:numPr>
      </w:pPr>
      <w:r>
        <w:t xml:space="preserve">Check Model</w:t>
      </w:r>
      <w:r>
        <w:t xml:space="preserve"> </w:t>
      </w:r>
    </w:p>
    <w:p>
      <w:pPr>
        <w:numPr>
          <w:ilvl w:val="0"/>
          <w:numId w:val="1005"/>
        </w:numPr>
      </w:pPr>
      <w:r>
        <w:t xml:space="preserve">Clear</w:t>
      </w:r>
      <w:r>
        <w:t xml:space="preserve"> </w:t>
      </w:r>
    </w:p>
    <w:p>
      <w:pPr>
        <w:numPr>
          <w:ilvl w:val="0"/>
          <w:numId w:val="1005"/>
        </w:numPr>
      </w:pPr>
      <w:r>
        <w:t xml:space="preserve">Change</w:t>
      </w:r>
      <w:r>
        <w:t xml:space="preserve"> </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2024-06-11T10:59:25Z</dcterms:created>
  <dcterms:modified xsi:type="dcterms:W3CDTF">2024-06-11T10:59:25Z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