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1.png" ContentType="image/png"/>
  <Override PartName="/word/media/rId32.png" ContentType="image/png"/>
  <Override PartName="/word/media/rId40.png" ContentType="image/png"/>
  <Override PartName="/word/media/rId49.png" ContentType="image/png"/>
  <Override PartName="/word/media/rId28.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54"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9"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p>
      <w:pPr>
        <w:numPr>
          <w:ilvl w:val="0"/>
          <w:numId w:val="1002"/>
        </w:numPr>
      </w:pPr>
      <w:r>
        <w:t xml:space="preserve">Now, complete the structure of the Markov model using the information above. Note: focus on adding the branches and transitions for this step; Parameters will be added later in this lab.</w:t>
      </w:r>
    </w:p>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Start w:id="38" w:name="cohort-size-and-starting-probabilities"/>
    <w:p>
      <w:pPr>
        <w:pStyle w:val="Heading3"/>
      </w:pPr>
      <w:r>
        <w:t xml:space="preserve">Cohort size and starting probabilities</w:t>
      </w:r>
    </w:p>
    <w:p>
      <w:pPr>
        <w:numPr>
          <w:ilvl w:val="0"/>
          <w:numId w:val="1003"/>
        </w:numPr>
        <w:pStyle w:val="Compact"/>
      </w:pPr>
      <w:r>
        <w:t xml:space="preserve">Go to Model</w:t>
      </w:r>
      <w:r>
        <w:t xml:space="preserve"> </w:t>
      </w:r>
      <w:r>
        <w:t xml:space="preserve"> </w:t>
      </w:r>
      <w:r>
        <w:t xml:space="preserve">Properties</w:t>
      </w:r>
      <w:r>
        <w:t xml:space="preserve"> </w:t>
      </w:r>
      <w:r>
        <w:t xml:space="preserve"> </w:t>
      </w:r>
      <w:r>
        <w:t xml:space="preserve">select the Simulation tab. The default cohort size is 1,000. Change cohort size to 1, so that all outputs will be at the individual level (i.e., per person).</w:t>
      </w:r>
    </w:p>
    <w:p>
      <w:pPr>
        <w:pStyle w:val="FirstParagraph"/>
      </w:pPr>
      <w:r>
        <w:drawing>
          <wp:inline>
            <wp:extent cx="4762500" cy="3423685"/>
            <wp:effectExtent b="0" l="0" r="0" t="0"/>
            <wp:docPr descr="" title="" id="33" name="Picture"/>
            <a:graphic>
              <a:graphicData uri="http://schemas.openxmlformats.org/drawingml/2006/picture">
                <pic:pic>
                  <pic:nvPicPr>
                    <pic:cNvPr descr="images/clipboard-1176592840.png" id="34" name="Picture"/>
                    <pic:cNvPicPr>
                      <a:picLocks noChangeArrowheads="1" noChangeAspect="1"/>
                    </pic:cNvPicPr>
                  </pic:nvPicPr>
                  <pic:blipFill>
                    <a:blip r:embed="rId32"/>
                    <a:stretch>
                      <a:fillRect/>
                    </a:stretch>
                  </pic:blipFill>
                  <pic:spPr bwMode="auto">
                    <a:xfrm>
                      <a:off x="0" y="0"/>
                      <a:ext cx="4762500" cy="3423685"/>
                    </a:xfrm>
                    <a:prstGeom prst="rect">
                      <a:avLst/>
                    </a:prstGeom>
                    <a:noFill/>
                    <a:ln w="9525">
                      <a:noFill/>
                      <a:headEnd/>
                      <a:tailEnd/>
                    </a:ln>
                  </pic:spPr>
                </pic:pic>
              </a:graphicData>
            </a:graphic>
          </wp:inline>
        </w:drawing>
      </w:r>
    </w:p>
    <w:p>
      <w:pPr>
        <w:numPr>
          <w:ilvl w:val="0"/>
          <w:numId w:val="1004"/>
        </w:numPr>
        <w:pStyle w:val="Compact"/>
      </w:pPr>
      <w:r>
        <w:t xml:space="preserve">At the Markov Chain</w:t>
      </w:r>
      <w:r>
        <w:t xml:space="preserve"> </w:t>
      </w:r>
      <w:r>
        <w:t xml:space="preserve"> </w:t>
      </w:r>
      <w:r>
        <w:t xml:space="preserve">, change the initial probabilities of health states. Since all patients start in the Alive state, change the p:0 on the left of the Local state to p:1 (see blue box below).</w:t>
      </w:r>
    </w:p>
    <w:p>
      <w:pPr>
        <w:pStyle w:val="FirstParagraph"/>
      </w:pPr>
      <w:r>
        <w:drawing>
          <wp:inline>
            <wp:extent cx="5334000" cy="2791046"/>
            <wp:effectExtent b="0" l="0" r="0" t="0"/>
            <wp:docPr descr="" title="" id="36" name="Picture"/>
            <a:graphic>
              <a:graphicData uri="http://schemas.openxmlformats.org/drawingml/2006/picture">
                <pic:pic>
                  <pic:nvPicPr>
                    <pic:cNvPr descr="images/clipboard-948912894.png" id="37" name="Picture"/>
                    <pic:cNvPicPr>
                      <a:picLocks noChangeArrowheads="1" noChangeAspect="1"/>
                    </pic:cNvPicPr>
                  </pic:nvPicPr>
                  <pic:blipFill>
                    <a:blip r:embed="rId35"/>
                    <a:stretch>
                      <a:fillRect/>
                    </a:stretch>
                  </pic:blipFill>
                  <pic:spPr bwMode="auto">
                    <a:xfrm>
                      <a:off x="0" y="0"/>
                      <a:ext cx="5334000" cy="2791046"/>
                    </a:xfrm>
                    <a:prstGeom prst="rect">
                      <a:avLst/>
                    </a:prstGeom>
                    <a:noFill/>
                    <a:ln w="9525">
                      <a:noFill/>
                      <a:headEnd/>
                      <a:tailEnd/>
                    </a:ln>
                  </pic:spPr>
                </pic:pic>
              </a:graphicData>
            </a:graphic>
          </wp:inline>
        </w:drawing>
      </w:r>
    </w:p>
    <w:bookmarkEnd w:id="38"/>
    <w:bookmarkEnd w:id="39"/>
    <w:bookmarkStart w:id="53" w:name="transition-probabilities"/>
    <w:p>
      <w:pPr>
        <w:pStyle w:val="Heading2"/>
      </w:pPr>
      <w:r>
        <w:t xml:space="preserve">Transition Probabilities</w:t>
      </w:r>
    </w:p>
    <w:p>
      <w:pPr>
        <w:pStyle w:val="FirstParagraph"/>
      </w:pPr>
      <w:r>
        <w:t xml:space="preserve">The underlying transition probability matrix has the following form:</w:t>
      </w:r>
    </w:p>
    <w:p>
      <w:pPr>
        <w:pStyle w:val="BodyText"/>
      </w:pPr>
      <w:r>
        <w:drawing>
          <wp:inline>
            <wp:extent cx="1905000" cy="950215"/>
            <wp:effectExtent b="0" l="0" r="0" t="0"/>
            <wp:docPr descr="" title="" id="41" name="Picture"/>
            <a:graphic>
              <a:graphicData uri="http://schemas.openxmlformats.org/drawingml/2006/picture">
                <pic:pic>
                  <pic:nvPicPr>
                    <pic:cNvPr descr="images/clipboard-3364156865.png" id="42" name="Picture"/>
                    <pic:cNvPicPr>
                      <a:picLocks noChangeArrowheads="1" noChangeAspect="1"/>
                    </pic:cNvPicPr>
                  </pic:nvPicPr>
                  <pic:blipFill>
                    <a:blip r:embed="rId40"/>
                    <a:stretch>
                      <a:fillRect/>
                    </a:stretch>
                  </pic:blipFill>
                  <pic:spPr bwMode="auto">
                    <a:xfrm>
                      <a:off x="0" y="0"/>
                      <a:ext cx="1905000" cy="950215"/>
                    </a:xfrm>
                    <a:prstGeom prst="rect">
                      <a:avLst/>
                    </a:prstGeom>
                    <a:noFill/>
                    <a:ln w="9525">
                      <a:noFill/>
                      <a:headEnd/>
                      <a:tailEnd/>
                    </a:ln>
                  </pic:spPr>
                </pic:pic>
              </a:graphicData>
            </a:graphic>
          </wp:inline>
        </w:drawing>
      </w:r>
    </w:p>
    <w:p>
      <w:pPr>
        <w:pStyle w:val="BodyText"/>
      </w:pPr>
      <w:r>
        <w:t xml:space="preserve">However, because we are modeling a cohort of newborns until death, we need to include death transition probabilities that vary by age (i.e., cycle) in the model. In other words, there will be a different death probability in each cycle.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rPr>
                <w:bCs/>
                <w:b/>
              </w:rPr>
              <w:t xml:space="preserve">time-varying inputs are operationalized as variables</w:t>
            </w:r>
            <w:r>
              <w:t xml:space="preserve"> </w:t>
            </w:r>
            <w:r>
              <w:t xml:space="preserve"> </w:t>
            </w:r>
            <w:r>
              <w:t xml:space="preserve">rather than parameters.</w:t>
            </w:r>
          </w:p>
          <w:p>
            <w:pPr>
              <w:pStyle w:val="BodyText"/>
            </w:pPr>
            <w:pPr>
              <w:spacing w:after="16"/>
            </w:pPr>
            <w:r>
              <w:t xml:space="preserve">Variables</w:t>
            </w:r>
            <w:r>
              <w:t xml:space="preserve"> </w:t>
            </w:r>
            <w:r>
              <w:t xml:space="preserve"> </w:t>
            </w:r>
            <w:r>
              <w:t xml:space="preserve">can be defined to keep track of model events and dynamically update expressions as the model runs. Thus, unlike parameters</w:t>
            </w:r>
            <w:r>
              <w:t xml:space="preserve"> </w:t>
            </w:r>
            <w:r>
              <w:t xml:space="preserve"> </w:t>
            </w:r>
            <w:r>
              <w:t xml:space="preserve">which are fixed for a given run of the model, variables can change within a simulation. Variables may change across individuals, allowing heterogeneity to be modeled, or they may change over time.</w:t>
            </w:r>
          </w:p>
        </w:tc>
      </w:tr>
    </w:tbl>
    <w:p>
      <w:pPr>
        <w:pStyle w:val="BodyText"/>
      </w:pPr>
      <w:r>
        <w:t xml:space="preserve">Therefore, we will define</w:t>
      </w:r>
      <w:r>
        <w:t xml:space="preserve"> </w:t>
      </w:r>
      <w:r>
        <w:rPr>
          <w:rStyle w:val="VerbatimChar"/>
        </w:rPr>
        <w:t xml:space="preserve">p_die</w:t>
      </w:r>
      <w:r>
        <w:t xml:space="preserve"> </w:t>
      </w:r>
      <w:r>
        <w:t xml:space="preserve">as a</w:t>
      </w:r>
      <w:r>
        <w:t xml:space="preserve"> </w:t>
      </w:r>
      <w:r>
        <w:rPr>
          <w:bCs/>
          <w:b/>
        </w:rPr>
        <w:t xml:space="preserve">variable</w:t>
      </w:r>
      <w:r>
        <w:t xml:space="preserve"> </w:t>
      </w:r>
      <w:r>
        <w:t xml:space="preserve"> </w:t>
      </w:r>
      <w:r>
        <w:t xml:space="preserve">that references values in a</w:t>
      </w:r>
      <w:r>
        <w:t xml:space="preserve"> </w:t>
      </w:r>
      <w:r>
        <w:rPr>
          <w:bCs/>
          <w:b/>
        </w:rPr>
        <w:t xml:space="preserve">lookup table</w:t>
      </w:r>
      <w:r>
        <w:t xml:space="preserve"> </w:t>
      </w:r>
      <w:r>
        <w:t xml:space="preserve">, following the steps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 lookup table returns the value that corresponds to a particular index. The first column in a lookup table contains the table indices, and one or more columns of lookup values can be defined. Index values must be unique and in ascending order. There are 3 lookup methods, (1) exact, (2) interpolate, and (3) truncate, for details about these methods visit the Amua Wiki on GitHub.</w:t>
            </w:r>
          </w:p>
        </w:tc>
      </w:tr>
    </w:tbl>
    <w:p>
      <w:pPr>
        <w:pStyle w:val="BodyText"/>
      </w:pPr>
      <w:r>
        <w:t xml:space="preserve">We first define a lookup table</w:t>
      </w:r>
      <w:r>
        <w:t xml:space="preserve"> </w:t>
      </w:r>
      <w:r>
        <w:t xml:space="preserve"> </w:t>
      </w:r>
      <w:r>
        <w:t xml:space="preserve">tbl_death to read in the age-dependent background mortality constructed from the Columbian life tables.</w:t>
      </w:r>
    </w:p>
    <w:bookmarkStart w:id="52" w:name="download-data"/>
    <w:p>
      <w:pPr>
        <w:pStyle w:val="Heading3"/>
      </w:pPr>
      <w:r>
        <w:t xml:space="preserve">Download Data</w:t>
      </w:r>
    </w:p>
    <w:p>
      <w:pPr>
        <w:pStyle w:val="FirstParagraph"/>
      </w:pPr>
      <w:hyperlink r:id="rId48">
        <w:r>
          <w:rPr>
            <w:rStyle w:val="Hyperlink"/>
          </w:rPr>
          <w:t xml:space="preserve">Download the file titled</w:t>
        </w:r>
        <w:r>
          <w:rPr>
            <w:rStyle w:val="Hyperlink"/>
          </w:rPr>
          <w:t xml:space="preserve"> </w:t>
        </w:r>
        <w:r>
          <w:rPr>
            <w:rStyle w:val="VerbatimChar"/>
          </w:rPr>
          <w:t xml:space="preserve">columbia-life-table-death-probabilities.csv</w:t>
        </w:r>
      </w:hyperlink>
      <w:r>
        <w:t xml:space="preserve"> </w:t>
      </w:r>
      <w:r>
        <w:t xml:space="preserve">from the workshop website (link below). This table contains the age-indexed annual mortality probability for Columbia.</w:t>
      </w:r>
    </w:p>
    <w:p>
      <w:pPr>
        <w:pStyle w:val="BodyText"/>
      </w:pPr>
      <w:r>
        <w:t xml:space="preserve">Go to the</w:t>
      </w:r>
      <w:r>
        <w:t xml:space="preserve"> </w:t>
      </w:r>
      <w:r>
        <w:t xml:space="preserve">“</w:t>
      </w:r>
      <w:r>
        <w:t xml:space="preserve">Tables</w:t>
      </w:r>
      <w:r>
        <w:t xml:space="preserve">”</w:t>
      </w:r>
      <w:r>
        <w:t xml:space="preserve"> </w:t>
      </w:r>
      <w:r>
        <w:t xml:space="preserve">panel, click</w:t>
      </w:r>
      <w:r>
        <w:t xml:space="preserve"> </w:t>
      </w:r>
      <w:r>
        <w:t xml:space="preserve"> </w:t>
      </w:r>
      <w:r>
        <w:t xml:space="preserve">to add a table, and you should see a</w:t>
      </w:r>
      <w:r>
        <w:t xml:space="preserve"> </w:t>
      </w:r>
      <w:r>
        <w:t xml:space="preserve">“</w:t>
      </w:r>
      <w:r>
        <w:t xml:space="preserve">Define Table</w:t>
      </w:r>
      <w:r>
        <w:t xml:space="preserve">”</w:t>
      </w:r>
      <w:r>
        <w:t xml:space="preserve"> </w:t>
      </w:r>
      <w:r>
        <w:t xml:space="preserve">window (see screenshot below). Click the Import button</w:t>
      </w:r>
      <w:r>
        <w:t xml:space="preserve"> </w:t>
      </w:r>
      <w:r>
        <w:t xml:space="preserve"> </w:t>
      </w:r>
      <w:r>
        <w:t xml:space="preserve">and select the downloaded .csv file to import. The table will automatically be resized to fit the imported data. The first row in the file will be used as table headers.</w:t>
      </w:r>
    </w:p>
    <w:p>
      <w:pPr>
        <w:pStyle w:val="BodyText"/>
      </w:pPr>
      <w:r>
        <w:drawing>
          <wp:inline>
            <wp:extent cx="5334000" cy="3556000"/>
            <wp:effectExtent b="0" l="0" r="0" t="0"/>
            <wp:docPr descr="" title="" id="50" name="Picture"/>
            <a:graphic>
              <a:graphicData uri="http://schemas.openxmlformats.org/drawingml/2006/picture">
                <pic:pic>
                  <pic:nvPicPr>
                    <pic:cNvPr descr="images/clipboard-414758796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Enter</w:t>
      </w:r>
      <w:r>
        <w:t xml:space="preserve"> </w:t>
      </w:r>
      <w:r>
        <w:t xml:space="preserve">“</w:t>
      </w:r>
      <w:r>
        <w:t xml:space="preserve">tbl_p_Die_other</w:t>
      </w:r>
      <w:r>
        <w:t xml:space="preserve">”</w:t>
      </w:r>
      <w:r>
        <w:t xml:space="preserve"> </w:t>
      </w:r>
      <w:r>
        <w:t xml:space="preserve">as the name for this variable.</w:t>
      </w:r>
      <w:r>
        <w:t xml:space="preserve"> </w:t>
      </w:r>
      <w:r>
        <w:t xml:space="preserve">“</w:t>
      </w:r>
      <w:r>
        <w:t xml:space="preserve">Lookup</w:t>
      </w:r>
      <w:r>
        <w:t xml:space="preserve">”</w:t>
      </w:r>
      <w:r>
        <w:t xml:space="preserve"> </w:t>
      </w:r>
      <w:r>
        <w:t xml:space="preserve">is the default table type (which is what we wanted for this life table). Choose</w:t>
      </w:r>
      <w:r>
        <w:t xml:space="preserve"> </w:t>
      </w:r>
      <w:r>
        <w:t xml:space="preserve">“</w:t>
      </w:r>
      <w:r>
        <w:t xml:space="preserve">Interpolate</w:t>
      </w:r>
      <w:r>
        <w:t xml:space="preserve">”</w:t>
      </w:r>
      <w:r>
        <w:t xml:space="preserve"> </w:t>
      </w:r>
      <w:r>
        <w:t xml:space="preserve">as the Lookup Method. Click Save to apply.</w:t>
      </w:r>
    </w:p>
    <w:p>
      <w:pPr>
        <w:pStyle w:val="BodyText"/>
      </w:pPr>
      <w:r>
        <w:t xml:space="preserve">Then, we can define the time-varying variable p_Die_other (which reads from the table we just defined and operates as the background mortality probability in the current model cycle, t). Make sure you create a variable and not a parameter. Under</w:t>
      </w:r>
      <w:r>
        <w:t xml:space="preserve"> </w:t>
      </w:r>
      <w:r>
        <w:t xml:space="preserve">“</w:t>
      </w:r>
      <w:r>
        <w:t xml:space="preserve">Variables</w:t>
      </w:r>
      <w:r>
        <w:t xml:space="preserve">”</w:t>
      </w:r>
      <w:r>
        <w:t xml:space="preserve">, click</w:t>
      </w:r>
      <w:r>
        <w:t xml:space="preserve"> </w:t>
      </w:r>
      <w:r>
        <w:t xml:space="preserve"> </w:t>
      </w:r>
      <w:r>
        <w:t xml:space="preserve">to add a variable p_Die_other = tbl_p_Die_other[age_initial + t, 1]. (See screenshot below.)</w:t>
      </w:r>
    </w:p>
    <w:p>
      <w:pPr>
        <w:pStyle w:val="BodyText"/>
      </w:pPr>
      <w:r>
        <w:t xml:space="preserve">The first column of a table is always used for indexing in tables. Therefore, the number</w:t>
      </w:r>
      <w:r>
        <w:t xml:space="preserve"> </w:t>
      </w:r>
      <w:r>
        <w:t xml:space="preserve">“</w:t>
      </w:r>
      <w:r>
        <w:t xml:space="preserve">1</w:t>
      </w:r>
      <w:r>
        <w:t xml:space="preserve">”</w:t>
      </w:r>
      <w:r>
        <w:t xml:space="preserve"> </w:t>
      </w:r>
      <w:r>
        <w:t xml:space="preserve">here will actually indicate the second column in your table as the corresponding value. You can also use the name of the column to read a value, e.g., tbl_p_Die_other[age_initial + t,</w:t>
      </w:r>
      <w:r>
        <w:t xml:space="preserve"> </w:t>
      </w:r>
      <w:r>
        <w:t xml:space="preserve">“</w:t>
      </w:r>
      <w:r>
        <w:t xml:space="preserve">p_die</w:t>
      </w:r>
      <w:r>
        <w:t xml:space="preserve">”</w:t>
      </w:r>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48" Target="https://graveja0.github.io/bogota-vital-strategies/case-studies/columbia-life-table-death-probabilities.csv" TargetMode="External" /></Relationships>
</file>

<file path=word/_rels/footnotes.xml.rels><?xml version="1.0" encoding="UTF-8"?><Relationships xmlns="http://schemas.openxmlformats.org/package/2006/relationships"><Relationship Type="http://schemas.openxmlformats.org/officeDocument/2006/relationships/hyperlink" Id="rId48" Target="https://graveja0.github.io/bogota-vital-strategies/case-studies/columbia-life-table-death-probabilit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2024-06-14T11:54:07Z</dcterms:created>
  <dcterms:modified xsi:type="dcterms:W3CDTF">2024-06-14T11:54:07Z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