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DE82" w14:textId="19E9F99E" w:rsidR="0088115F" w:rsidRPr="00BF7B56" w:rsidRDefault="0088115F" w:rsidP="006C5A4E">
      <w:pPr>
        <w:pStyle w:val="Title"/>
        <w:rPr>
          <w:rFonts w:ascii="Arial" w:hAnsi="Arial" w:cs="Arial"/>
          <w:sz w:val="36"/>
          <w:szCs w:val="36"/>
          <w:lang w:val="en-US"/>
        </w:rPr>
      </w:pPr>
      <w:r w:rsidRPr="00BF7B56">
        <w:rPr>
          <w:rFonts w:ascii="Arial" w:hAnsi="Arial" w:cs="Arial"/>
          <w:sz w:val="36"/>
          <w:szCs w:val="36"/>
          <w:lang w:val="en-US"/>
        </w:rPr>
        <w:t xml:space="preserve">Policy Brief </w:t>
      </w:r>
    </w:p>
    <w:p w14:paraId="4E668C08" w14:textId="073ADC59" w:rsidR="0088115F" w:rsidRPr="00BF7B56" w:rsidRDefault="006126BD" w:rsidP="00DB279B">
      <w:pPr>
        <w:pStyle w:val="Title"/>
        <w:rPr>
          <w:rFonts w:ascii="Arial" w:hAnsi="Arial" w:cs="Arial"/>
          <w:sz w:val="36"/>
          <w:szCs w:val="36"/>
          <w:lang w:val="en-US"/>
        </w:rPr>
      </w:pPr>
      <w:r w:rsidRPr="00BF7B56">
        <w:rPr>
          <w:rFonts w:ascii="Arial" w:hAnsi="Arial" w:cs="Arial"/>
          <w:sz w:val="36"/>
          <w:szCs w:val="36"/>
          <w:lang w:val="en-US"/>
        </w:rPr>
        <w:t>Burning your dreams! Don't let gunpowder be your nightmare</w:t>
      </w:r>
    </w:p>
    <w:p w14:paraId="49BEC359" w14:textId="3276042D" w:rsidR="0088115F" w:rsidRPr="00947CAC" w:rsidRDefault="00964710" w:rsidP="00947CAC">
      <w:pPr>
        <w:spacing w:before="240"/>
        <w:jc w:val="both"/>
        <w:rPr>
          <w:rFonts w:ascii="Arial" w:hAnsi="Arial" w:cs="Arial"/>
        </w:rPr>
      </w:pPr>
      <w:r w:rsidRPr="00947CAC">
        <w:rPr>
          <w:rFonts w:ascii="Arial" w:hAnsi="Arial" w:cs="Arial"/>
        </w:rPr>
        <w:t>Rosanna Camerano-Ruiz, Víctor Stephen González-Quintero, Jose Luis Cuero León</w:t>
      </w:r>
    </w:p>
    <w:p w14:paraId="141F1457" w14:textId="734F10BB" w:rsidR="0068257F" w:rsidRDefault="0068257F" w:rsidP="00DA4512">
      <w:pPr>
        <w:pStyle w:val="Heading1"/>
        <w:rPr>
          <w:lang w:val="es-ES"/>
        </w:rPr>
      </w:pPr>
      <w:r w:rsidRPr="00947CAC">
        <w:t>Problem statement</w:t>
      </w:r>
    </w:p>
    <w:p w14:paraId="75CBF7FA" w14:textId="721D8501" w:rsidR="00012180" w:rsidRPr="00BF7B56" w:rsidRDefault="00012180" w:rsidP="00012180">
      <w:pPr>
        <w:pStyle w:val="ListParagraph"/>
        <w:spacing w:before="240" w:line="276" w:lineRule="auto"/>
        <w:ind w:left="0"/>
        <w:contextualSpacing w:val="0"/>
        <w:jc w:val="both"/>
        <w:rPr>
          <w:rFonts w:ascii="Arial" w:hAnsi="Arial" w:cs="Arial"/>
          <w:lang w:val="en-US"/>
        </w:rPr>
      </w:pPr>
      <w:r w:rsidRPr="00BF7B56">
        <w:rPr>
          <w:rFonts w:ascii="Arial" w:hAnsi="Arial" w:cs="Arial"/>
          <w:lang w:val="en-US"/>
        </w:rPr>
        <w:t xml:space="preserve">Fireworks are explosive pyrotechnic compositions designed to provide visual and sound effects </w:t>
      </w:r>
      <w:r w:rsidRPr="00FE7CDA">
        <w:rPr>
          <w:rFonts w:ascii="Arial" w:hAnsi="Arial" w:cs="Arial"/>
        </w:rPr>
        <w:fldChar w:fldCharType="begin"/>
      </w:r>
      <w:r w:rsidR="00C317D6" w:rsidRPr="00BF7B56">
        <w:rPr>
          <w:rFonts w:ascii="Arial" w:hAnsi="Arial" w:cs="Arial"/>
          <w:lang w:val="en-US"/>
        </w:rPr>
        <w:instrText xml:space="preserve"> ADDIN ZOTERO_ITEM CSL_CITATION {"citationID":"VRyZx2F4","properties":{"formattedCitation":"(1)","plainCitation":"(1)","noteIndex":0},"citationItems":[{"id":1421,"uris":["http://zotero.org/users/11420499/items/BTQLYA83"],"itemData":{"id":1421,"type":"article-journal","abstract":"Purpose\n              We evaluated the impact of Senate Bill 489 passed in May 2017, allowing the sale and use of fireworks in Iowa 1 June to 8 July and 10 December to 3 January, on hospital presentations for firework injuries in the state. To identify the public health implications of this law, we conducted a detailed subanalysis of hospital presentations to the two level I trauma centres.\n            \n            \n              Methods\n              \n                Hospital presentations for firework injuries from 1 June 2014 to 31 July 2019 were identified using the Iowa Hospital Admission database and registries and medical records of Iowa’s two level 1 trauma centres. Trauma centres’ data were reviewed to obtain demographics, injury information and hospital course. Prefirework and postfirework legalisation state data were compared using negative binomial regression analysis. Trauma centre data detailing injuries were compared using </w:instrText>
      </w:r>
      <w:r w:rsidR="00C317D6">
        <w:rPr>
          <w:rFonts w:ascii="Arial" w:hAnsi="Arial" w:cs="Arial"/>
        </w:rPr>
        <w:instrText>χ</w:instrText>
      </w:r>
      <w:r w:rsidR="00C317D6" w:rsidRPr="00BF7B56">
        <w:rPr>
          <w:rFonts w:ascii="Arial" w:hAnsi="Arial" w:cs="Arial"/>
          <w:lang w:val="en-US"/>
        </w:rPr>
        <w:instrText xml:space="preserve">\n                2\n                and Mann-Whitney U tests as appropriate.\n              \n            \n            \n              Results\n              Emergency department (ED) visits and hospital admissions for firework injuries increased in Iowa post-legalisation (B-estimate=0.598±0.073, p&lt;0.001 and B-estimate=0.612±0.322, p=0.058, respectively). ED visits increased postlegalisation in July (73.6% vs 64.5%; p=0.008), reflecting an increase in paediatric admissions (81.8% vs 62.5%; p=0.006). Trauma centres’ data showed similar trends. The most common injury site across both study periods was the hands (48.5%), followed by the eyes (34.3%) and face (28.3%). Amputations increased from 0 prelegalisation to 16.2% postlegalisation.\n            \n            \n              Conclusion\n              Firework legalisation led to an increase in the number of admissions and more severe injuries.","container-title":"Injury Prevention","DOI":"10.1136/ip-2022-044616","ISSN":"1353-8047, 1475-5785","issue":"6","journalAbbreviation":"Inj Prev","language":"en","page":"553-559","source":"DOI.org (Crossref)","title":"Firework injuries remain high in years after legalisation: its impact on children","title-short":"Firework injuries remain high in years after legalisation","volume":"28","author":[{"family":"Galet","given":"Colette"},{"family":"Slagel","given":"Isaac"},{"family":"Froehlich","given":"Adam"},{"family":"Bobb","given":"Morgan"},{"family":"Lilienthal","given":"Michele"},{"family":"Fuchsen","given":"Elizabeth"},{"family":"Harland","given":"Karisa K"},{"family":"Pelaez","given":"Carlos A"},{"family":"Skeete","given":"Dionne A"},{"family":"Takacs","given":"Michael E"}],"issued":{"date-parts":[["2022",12]]}}}],"schema":"https://github.com/citation-style-language/schema/raw/master/csl-citation.json"} </w:instrText>
      </w:r>
      <w:r w:rsidRPr="00FE7CDA">
        <w:rPr>
          <w:rFonts w:ascii="Arial" w:hAnsi="Arial" w:cs="Arial"/>
        </w:rPr>
        <w:fldChar w:fldCharType="separate"/>
      </w:r>
      <w:r w:rsidRPr="00BF7B56">
        <w:rPr>
          <w:rFonts w:ascii="Arial" w:hAnsi="Arial" w:cs="Arial"/>
          <w:noProof/>
          <w:lang w:val="en-US"/>
        </w:rPr>
        <w:t>(1)</w:t>
      </w:r>
      <w:r w:rsidRPr="00FE7CDA">
        <w:rPr>
          <w:rFonts w:ascii="Arial" w:hAnsi="Arial" w:cs="Arial"/>
        </w:rPr>
        <w:fldChar w:fldCharType="end"/>
      </w:r>
      <w:r w:rsidRPr="00BF7B56">
        <w:rPr>
          <w:rFonts w:ascii="Arial" w:hAnsi="Arial" w:cs="Arial"/>
          <w:lang w:val="en-US"/>
        </w:rPr>
        <w:t xml:space="preserve">. They are part of large events associated with culture and religion, and also smaller exhibitions that take place at family and neighborhood gatherings </w:t>
      </w:r>
      <w:r w:rsidRPr="00FE7CDA">
        <w:rPr>
          <w:rFonts w:ascii="Arial" w:hAnsi="Arial" w:cs="Arial"/>
        </w:rPr>
        <w:fldChar w:fldCharType="begin"/>
      </w:r>
      <w:r w:rsidR="00C317D6" w:rsidRPr="00BF7B56">
        <w:rPr>
          <w:rFonts w:ascii="Arial" w:hAnsi="Arial" w:cs="Arial"/>
          <w:lang w:val="en-US"/>
        </w:rPr>
        <w:instrText xml:space="preserve"> ADDIN ZOTERO_ITEM CSL_CITATION {"citationID":"5vi4xX4x","properties":{"formattedCitation":"(2,3)","plainCitation":"(2,3)","noteIndex":0},"citationItems":[{"id":1503,"uris":["http://zotero.org/users/11420499/items/28IVRFVG"],"itemData":{"id":1503,"type":"webpage","title":"Fireworks: air quality and health effects","URL":"https://dnr.wisconsin.gov/topic/AirQuality/Fireworks.html#:~:text=Short%2Dterm%20exposures%20can%20aggravate,to%20heart%20attacks%20and%20arrhythmias.","author":[{"family":"Wisconsin Department of Natural Resources","given":""}]}},{"id":1405,"uris":["http://zotero.org/groups/5366598/items/9IZ5RVLB"],"itemData":{"id":1405,"type":"document","language":"Español","title":"Protocolo de Vigilancia de Lesiones por pólvora pirotécnica","URL":"https://www.ins.gov.co/buscador-eventos/Lineamientos/Pro_Lesiones%20por%20artefactos%20-%20Polvora.pdf","author":[{"family":"Instituto Nacional de Salud","given":""},{"literal":"Grupo de Vigilancia y Control de Enfermedades No Transmisibles"}],"issued":{"date-parts":[["2022"]]}}}],"schema":"https://github.com/citation-style-language/schema/raw/master/csl-citation.json"} </w:instrText>
      </w:r>
      <w:r w:rsidRPr="00FE7CDA">
        <w:rPr>
          <w:rFonts w:ascii="Arial" w:hAnsi="Arial" w:cs="Arial"/>
        </w:rPr>
        <w:fldChar w:fldCharType="separate"/>
      </w:r>
      <w:r w:rsidRPr="00BF7B56">
        <w:rPr>
          <w:rFonts w:ascii="Arial" w:hAnsi="Arial" w:cs="Arial"/>
          <w:noProof/>
          <w:lang w:val="en-US"/>
        </w:rPr>
        <w:t>(2,3)</w:t>
      </w:r>
      <w:r w:rsidRPr="00FE7CDA">
        <w:rPr>
          <w:rFonts w:ascii="Arial" w:hAnsi="Arial" w:cs="Arial"/>
        </w:rPr>
        <w:fldChar w:fldCharType="end"/>
      </w:r>
      <w:r w:rsidRPr="00BF7B56">
        <w:rPr>
          <w:rFonts w:ascii="Arial" w:hAnsi="Arial" w:cs="Arial"/>
          <w:lang w:val="en-US"/>
        </w:rPr>
        <w:t xml:space="preserve">. In Colombia, they are mainly used in the December festivities </w:t>
      </w:r>
      <w:r w:rsidR="002616FB" w:rsidRPr="00FE7CDA">
        <w:rPr>
          <w:rFonts w:ascii="Arial" w:hAnsi="Arial" w:cs="Arial"/>
        </w:rPr>
        <w:fldChar w:fldCharType="begin"/>
      </w:r>
      <w:r w:rsidR="00C317D6" w:rsidRPr="00BF7B56">
        <w:rPr>
          <w:rFonts w:ascii="Arial" w:hAnsi="Arial" w:cs="Arial"/>
          <w:lang w:val="en-US"/>
        </w:rPr>
        <w:instrText xml:space="preserve"> ADDIN ZOTERO_ITEM CSL_CITATION {"citationID":"r7hc3X4D","properties":{"formattedCitation":"(4)","plainCitation":"(4)","noteIndex":0},"citationItems":[{"id":"GFJYlw4W/b6oBnRje","uris":["http://zotero.org/users/14292959/items/JFHC92ZD"],"itemData":{"id":"UIgHWs6r/GLSzrCtw","type":"article-journal","container-title":"Serie III Pólvora","language":"es","source":"Zotero","title":"Lesiones por pólvora en Colombia, 2008 -2013","author":[{"literal":"Instituto Nacional de Salud"},{"literal":"Observatorio Nacional de Salud"}],"issued":{"date-parts":[["2014"]]}}}],"schema":"https://github.com/citation-style-language/schema/raw/master/csl-citation.json"} </w:instrText>
      </w:r>
      <w:r w:rsidR="002616FB" w:rsidRPr="00FE7CDA">
        <w:rPr>
          <w:rFonts w:ascii="Arial" w:hAnsi="Arial" w:cs="Arial"/>
        </w:rPr>
        <w:fldChar w:fldCharType="separate"/>
      </w:r>
      <w:r w:rsidR="005B1351" w:rsidRPr="00BF7B56">
        <w:rPr>
          <w:rFonts w:ascii="Arial" w:hAnsi="Arial" w:cs="Arial"/>
          <w:noProof/>
          <w:lang w:val="en-US"/>
        </w:rPr>
        <w:t>(4)</w:t>
      </w:r>
      <w:r w:rsidR="002616FB" w:rsidRPr="00FE7CDA">
        <w:rPr>
          <w:rFonts w:ascii="Arial" w:hAnsi="Arial" w:cs="Arial"/>
        </w:rPr>
        <w:fldChar w:fldCharType="end"/>
      </w:r>
      <w:r w:rsidR="00361D9E" w:rsidRPr="00BF7B56">
        <w:rPr>
          <w:rFonts w:ascii="Arial" w:hAnsi="Arial" w:cs="Arial"/>
          <w:lang w:val="en-US"/>
        </w:rPr>
        <w:t>.</w:t>
      </w:r>
    </w:p>
    <w:p w14:paraId="2CF52AFB" w14:textId="34E3AA08" w:rsidR="00012180" w:rsidRPr="00BF7B56" w:rsidRDefault="00012180" w:rsidP="00012180">
      <w:pPr>
        <w:pStyle w:val="ListParagraph"/>
        <w:spacing w:before="240" w:line="276" w:lineRule="auto"/>
        <w:ind w:left="0"/>
        <w:contextualSpacing w:val="0"/>
        <w:jc w:val="both"/>
        <w:rPr>
          <w:rFonts w:ascii="Arial" w:hAnsi="Arial" w:cs="Arial"/>
          <w:lang w:val="en-US"/>
        </w:rPr>
      </w:pPr>
      <w:r w:rsidRPr="00BF7B56">
        <w:rPr>
          <w:rFonts w:ascii="Arial" w:hAnsi="Arial" w:cs="Arial"/>
          <w:lang w:val="en-US"/>
        </w:rPr>
        <w:t xml:space="preserve">Fireworks are made from powdered metal salts that produce intensely bright white colors and flashes that are added to explosive projectiles, making them a flammable, explosive, and toxic material </w:t>
      </w:r>
      <w:r w:rsidRPr="00FE7CDA">
        <w:rPr>
          <w:rFonts w:ascii="Arial" w:hAnsi="Arial" w:cs="Arial"/>
        </w:rPr>
        <w:fldChar w:fldCharType="begin"/>
      </w:r>
      <w:r w:rsidR="00C317D6" w:rsidRPr="00BF7B56">
        <w:rPr>
          <w:rFonts w:ascii="Arial" w:hAnsi="Arial" w:cs="Arial"/>
          <w:lang w:val="en-US"/>
        </w:rPr>
        <w:instrText xml:space="preserve"> ADDIN ZOTERO_ITEM CSL_CITATION {"citationID":"EDfkCvNK","properties":{"formattedCitation":"(2,3)","plainCitation":"(2,3)","noteIndex":0},"citationItems":[{"id":1503,"uris":["http://zotero.org/users/11420499/items/28IVRFVG"],"itemData":{"id":1503,"type":"webpage","title":"Fireworks: air quality and health effects","URL":"https://dnr.wisconsin.gov/topic/AirQuality/Fireworks.html#:~:text=Short%2Dterm%20exposures%20can%20aggravate,to%20heart%20attacks%20and%20arrhythmias.","author":[{"family":"Wisconsin Department of Natural Resources","given":""}]}},{"id":1405,"uris":["http://zotero.org/groups/5366598/items/9IZ5RVLB"],"itemData":{"id":1405,"type":"document","language":"Español","title":"Protocolo de Vigilancia de Lesiones por pólvora pirotécnica","URL":"https://www.ins.gov.co/buscador-eventos/Lineamientos/Pro_Lesiones%20por%20artefactos%20-%20Polvora.pdf","author":[{"family":"Instituto Nacional de Salud","given":""},{"literal":"Grupo de Vigilancia y Control de Enfermedades No Transmisibles"}],"issued":{"date-parts":[["2022"]]}}}],"schema":"https://github.com/citation-style-language/schema/raw/master/csl-citation.json"} </w:instrText>
      </w:r>
      <w:r w:rsidRPr="00FE7CDA">
        <w:rPr>
          <w:rFonts w:ascii="Arial" w:hAnsi="Arial" w:cs="Arial"/>
        </w:rPr>
        <w:fldChar w:fldCharType="separate"/>
      </w:r>
      <w:r w:rsidRPr="00BF7B56">
        <w:rPr>
          <w:rFonts w:ascii="Arial" w:hAnsi="Arial" w:cs="Arial"/>
          <w:noProof/>
          <w:lang w:val="en-US"/>
        </w:rPr>
        <w:t>(2,3)</w:t>
      </w:r>
      <w:r w:rsidRPr="00FE7CDA">
        <w:rPr>
          <w:rFonts w:ascii="Arial" w:hAnsi="Arial" w:cs="Arial"/>
        </w:rPr>
        <w:fldChar w:fldCharType="end"/>
      </w:r>
      <w:r w:rsidRPr="00BF7B56">
        <w:rPr>
          <w:rFonts w:ascii="Arial" w:hAnsi="Arial" w:cs="Arial"/>
          <w:lang w:val="en-US"/>
        </w:rPr>
        <w:t xml:space="preserve">. These characteristics, regardless of the size of the appliance, pose a risk of causing injury to children and adults if not used with proper precautions </w:t>
      </w:r>
      <w:r w:rsidRPr="00FE7CDA">
        <w:rPr>
          <w:rFonts w:ascii="Arial" w:hAnsi="Arial" w:cs="Arial"/>
        </w:rPr>
        <w:fldChar w:fldCharType="begin"/>
      </w:r>
      <w:r w:rsidR="00C317D6" w:rsidRPr="00BF7B56">
        <w:rPr>
          <w:rFonts w:ascii="Arial" w:hAnsi="Arial" w:cs="Arial"/>
          <w:lang w:val="en-US"/>
        </w:rPr>
        <w:instrText xml:space="preserve"> ADDIN ZOTERO_ITEM CSL_CITATION {"citationID":"tkSO6Xhg","properties":{"formattedCitation":"(1,3)","plainCitation":"(1,3)","noteIndex":0},"citationItems":[{"id":1421,"uris":["http://zotero.org/users/11420499/items/BTQLYA83"],"itemData":{"id":1421,"type":"article-journal","abstract":"Purpose\n              We evaluated the impact of Senate Bill 489 passed in May 2017, allowing the sale and use of fireworks in Iowa 1 June to 8 July and 10 December to 3 January, on hospital presentations for firework injuries in the state. To identify the public health implications of this law, we conducted a detailed subanalysis of hospital presentations to the two level I trauma centres.\n            \n            \n              Methods\n              \n                Hospital presentations for firework injuries from 1 June 2014 to 31 July 2019 were identified using the Iowa Hospital Admission database and registries and medical records of Iowa’s two level 1 trauma centres. Trauma centres’ data were reviewed to obtain demographics, injury information and hospital course. Prefirework and postfirework legalisation state data were compared using negative binomial regression analysis. Trauma centre data detailing injuries were compared using </w:instrText>
      </w:r>
      <w:r w:rsidR="00C317D6">
        <w:rPr>
          <w:rFonts w:ascii="Arial" w:hAnsi="Arial" w:cs="Arial"/>
        </w:rPr>
        <w:instrText>χ</w:instrText>
      </w:r>
      <w:r w:rsidR="00C317D6" w:rsidRPr="00BF7B56">
        <w:rPr>
          <w:rFonts w:ascii="Arial" w:hAnsi="Arial" w:cs="Arial"/>
          <w:lang w:val="en-US"/>
        </w:rPr>
        <w:instrText>\n                2\n                and Mann-Whitney U tests as appropriate.\n              \n            \n            \n              Results\n              Emergency department (ED) visits and hospital admissions for firework injuries increased in Iowa post-</w:instrText>
      </w:r>
      <w:r w:rsidR="00C317D6">
        <w:rPr>
          <w:rFonts w:ascii="Arial" w:hAnsi="Arial" w:cs="Arial"/>
        </w:rPr>
        <w:instrText>legalisation (B-estimate=0.598±0.073, p&lt;0.001 and B-estimate=0.612±0.322, p=0.058, respectively). ED visits increased postlegalisation in July (73.6% vs 64.5%; p=0.008), reflecting an increase in paediatric admissions (81.8% vs 62.5%; p=0.006). Trauma centres’ data showed similar trends. The most common injury site across both study periods was the hands (48.5%), followed by the eyes (34.3%) and face (28.3%). Amputations increased from 0 prelegalisation to 16.2% postlegalisation.\n            \n            \n              Conclusion\n              Fir</w:instrText>
      </w:r>
      <w:r w:rsidR="00C317D6" w:rsidRPr="00BF7B56">
        <w:rPr>
          <w:rFonts w:ascii="Arial" w:hAnsi="Arial" w:cs="Arial"/>
          <w:lang w:val="en-US"/>
        </w:rPr>
        <w:instrText xml:space="preserve">ework legalisation led to an increase in the number of admissions and more severe injuries.","container-title":"Injury Prevention","DOI":"10.1136/ip-2022-044616","ISSN":"1353-8047, 1475-5785","issue":"6","journalAbbreviation":"Inj Prev","language":"en","page":"553-559","source":"DOI.org (Crossref)","title":"Firework injuries remain high in years after legalisation: its impact on children","title-short":"Firework injuries remain high in years after legalisation","volume":"28","author":[{"family":"Galet","given":"Colette"},{"family":"Slagel","given":"Isaac"},{"family":"Froehlich","given":"Adam"},{"family":"Bobb","given":"Morgan"},{"family":"Lilienthal","given":"Michele"},{"family":"Fuchsen","given":"Elizabeth"},{"family":"Harland","given":"Karisa K"},{"family":"Pelaez","given":"Carlos A"},{"family":"Skeete","given":"Dionne A"},{"family":"Takacs","given":"Michael E"}],"issued":{"date-parts":[["2022",12]]}}},{"id":1405,"uris":["http://zotero.org/groups/5366598/items/9IZ5RVLB"],"itemData":{"id":1405,"type":"document","language":"Español","title":"Protocolo de Vigilancia de Lesiones por pólvora pirotécnica","URL":"https://www.ins.gov.co/buscador-eventos/Lineamientos/Pro_Lesiones%20por%20artefactos%20-%20Polvora.pdf","author":[{"family":"Instituto Nacional de Salud","given":""},{"literal":"Grupo de Vigilancia y Control de Enfermedades No Transmisibles"}],"issued":{"date-parts":[["2022"]]}}}],"schema":"https://github.com/citation-style-language/schema/raw/master/csl-citation.json"} </w:instrText>
      </w:r>
      <w:r w:rsidRPr="00FE7CDA">
        <w:rPr>
          <w:rFonts w:ascii="Arial" w:hAnsi="Arial" w:cs="Arial"/>
        </w:rPr>
        <w:fldChar w:fldCharType="separate"/>
      </w:r>
      <w:r w:rsidRPr="00BF7B56">
        <w:rPr>
          <w:rFonts w:ascii="Arial" w:hAnsi="Arial" w:cs="Arial"/>
          <w:noProof/>
          <w:lang w:val="en-US"/>
        </w:rPr>
        <w:t>(1,3)</w:t>
      </w:r>
      <w:r w:rsidRPr="00FE7CDA">
        <w:rPr>
          <w:rFonts w:ascii="Arial" w:hAnsi="Arial" w:cs="Arial"/>
        </w:rPr>
        <w:fldChar w:fldCharType="end"/>
      </w:r>
      <w:r w:rsidRPr="00BF7B56">
        <w:rPr>
          <w:rFonts w:ascii="Arial" w:hAnsi="Arial" w:cs="Arial"/>
          <w:lang w:val="en-US"/>
        </w:rPr>
        <w:t>.</w:t>
      </w:r>
    </w:p>
    <w:p w14:paraId="547EAE15" w14:textId="0EA28B05" w:rsidR="00012180" w:rsidRPr="00BF7B56" w:rsidRDefault="00012180" w:rsidP="00012180">
      <w:pPr>
        <w:pStyle w:val="ListParagraph"/>
        <w:spacing w:before="240" w:line="276" w:lineRule="auto"/>
        <w:ind w:left="0"/>
        <w:contextualSpacing w:val="0"/>
        <w:jc w:val="both"/>
        <w:rPr>
          <w:rFonts w:ascii="Arial" w:hAnsi="Arial" w:cs="Arial"/>
          <w:lang w:val="en-US"/>
        </w:rPr>
      </w:pPr>
      <w:r w:rsidRPr="00BF7B56">
        <w:rPr>
          <w:rFonts w:ascii="Arial" w:hAnsi="Arial" w:cs="Arial"/>
          <w:lang w:val="en-US"/>
        </w:rPr>
        <w:t xml:space="preserve">Fireworks injuries are within the group of injuries of external cause and the operational definition established by the Surveillance Protocol for Injuries by pyrotechnic gunpowder of the National Institute of Health (INS) is: </w:t>
      </w:r>
      <w:r w:rsidRPr="00BF7B56">
        <w:rPr>
          <w:rFonts w:ascii="Arial" w:hAnsi="Arial" w:cs="Arial"/>
          <w:i/>
          <w:iCs/>
          <w:lang w:val="en-US"/>
        </w:rPr>
        <w:t xml:space="preserve">"Case in which, as a result of the production, storage, transport, handling, and/or exhibition of pyrotechnic gunpowder, injuries are caused to people, which require medical, ambulatory or hospital management, or trigger their death" </w:t>
      </w:r>
      <w:r w:rsidRPr="00FE7CDA">
        <w:rPr>
          <w:rFonts w:ascii="Arial" w:hAnsi="Arial" w:cs="Arial"/>
        </w:rPr>
        <w:fldChar w:fldCharType="begin"/>
      </w:r>
      <w:r w:rsidR="00C317D6" w:rsidRPr="00BF7B56">
        <w:rPr>
          <w:rFonts w:ascii="Arial" w:hAnsi="Arial" w:cs="Arial"/>
          <w:lang w:val="en-US"/>
        </w:rPr>
        <w:instrText xml:space="preserve"> ADDIN ZOTERO_ITEM CSL_CITATION {"citationID":"AElMs7GV","properties":{"formattedCitation":"(3)","plainCitation":"(3)","noteIndex":0},"citationItems":[{"id":1405,"uris":["http://zotero.org/groups/5366598/items/9IZ5RVLB"],"itemData":{"id":1405,"type":"document","language":"Español","title":"Protocolo de Vigilancia de Lesiones por pólvora pirotécnica","URL":"https://www.ins.gov.co/buscador-eventos/Lineamientos/Pro_Lesiones%20por%20artefactos%20-%20Polvora.pdf","author":[{"family":"Instituto Nacional de Salud","given":""},{"literal":"Grupo de Vigilancia y Control de Enfermedades No Transmisibles"}],"issued":{"date-parts":[["2022"]]}}}],"schema":"https://github.com/citation-style-language/schema/raw/master/csl-citation.json"} </w:instrText>
      </w:r>
      <w:r w:rsidRPr="00FE7CDA">
        <w:rPr>
          <w:rFonts w:ascii="Arial" w:hAnsi="Arial" w:cs="Arial"/>
        </w:rPr>
        <w:fldChar w:fldCharType="separate"/>
      </w:r>
      <w:r w:rsidRPr="00BF7B56">
        <w:rPr>
          <w:rFonts w:ascii="Arial" w:hAnsi="Arial" w:cs="Arial"/>
          <w:noProof/>
          <w:lang w:val="en-US"/>
        </w:rPr>
        <w:t>(3)</w:t>
      </w:r>
      <w:r w:rsidRPr="00FE7CDA">
        <w:rPr>
          <w:rFonts w:ascii="Arial" w:hAnsi="Arial" w:cs="Arial"/>
        </w:rPr>
        <w:fldChar w:fldCharType="end"/>
      </w:r>
      <w:r w:rsidRPr="00BF7B56">
        <w:rPr>
          <w:rFonts w:ascii="Arial" w:hAnsi="Arial" w:cs="Arial"/>
          <w:lang w:val="en-US"/>
        </w:rPr>
        <w:t>.</w:t>
      </w:r>
    </w:p>
    <w:p w14:paraId="1AE93FBC" w14:textId="0B4F4C3B" w:rsidR="00012180" w:rsidRPr="00BF7B56" w:rsidRDefault="00012180" w:rsidP="00012180">
      <w:pPr>
        <w:pStyle w:val="ListParagraph"/>
        <w:spacing w:before="240" w:line="276" w:lineRule="auto"/>
        <w:ind w:left="0"/>
        <w:contextualSpacing w:val="0"/>
        <w:jc w:val="both"/>
        <w:rPr>
          <w:rFonts w:ascii="Arial" w:hAnsi="Arial" w:cs="Arial"/>
          <w:lang w:val="en-US"/>
        </w:rPr>
      </w:pPr>
      <w:r w:rsidRPr="00BF7B56">
        <w:rPr>
          <w:rFonts w:ascii="Arial" w:hAnsi="Arial" w:cs="Arial"/>
          <w:lang w:val="en-US"/>
        </w:rPr>
        <w:t xml:space="preserve">Worldwide, fireworks injuries represent a high social and economic cost that translates into medical disabilities and temporary and permanent deformations </w:t>
      </w:r>
      <w:r w:rsidRPr="00FE7CDA">
        <w:rPr>
          <w:rFonts w:ascii="Arial" w:hAnsi="Arial" w:cs="Arial"/>
        </w:rPr>
        <w:fldChar w:fldCharType="begin"/>
      </w:r>
      <w:r w:rsidR="00C317D6" w:rsidRPr="00BF7B56">
        <w:rPr>
          <w:rFonts w:ascii="Arial" w:hAnsi="Arial" w:cs="Arial"/>
          <w:lang w:val="en-US"/>
        </w:rPr>
        <w:instrText xml:space="preserve"> ADDIN ZOTERO_ITEM CSL_CITATION {"citationID":"h832xpFl","properties":{"formattedCitation":"(5)","plainCitation":"(5)","noteIndex":0},"citationItems":[{"id":1210,"uris":["http://zotero.org/groups/5366598/items/3AYUID2Z"],"itemData":{"id":1210,"type":"article-journal","abstract":"Introduction: Gunpowder injuries generate high socio-economic costs and environmental damage. An analysis is presented, fifteen years after the issuance of a national policy to avoid injuries due to this cause.\nObjective: To describe the behavior of injuries related to the use of gunpowder during the holiday celebrations in Santiago de Cali-Colombia during the period 2002-2016.\nMethod: Retrospective descriptive study. Using the secondary database of the Social Observatory and SIVIGILA, the cases of people burned by gunpowder in the city were characterized.\nResults: We identified 655 injured by gunpowder in December, 83% of the injured were men, and 43% were minors, being the group of 10 to 14 years the most affected, a significant decrease was reached in the group of the early childhood The most affected parts were upper limbs and head.\nConclusion: The policy has had a positive impact on protecting early childhood. It is recommended wider dissemination of the norm in the pre-December period and promotion of education with a gender focus, aimed at the educational community (schoolchildren, teachers, and parents) to influence patriarchal customs such as the use of gunpowder to celebrate that increase the health impact of existing regulations.","container-title":"Interdisciplinary Journal of Epidemiology and Public Health","ISSN":"2665-427X","issue":"1","language":"es","license":"Copyright (c) 2023 Interdisciplinary Journal of Epidemiology and Public Health","note":"number: 1","source":"revistas.unilibre.edu.co","title":"Quemados con pólvora en Cali-Colombia durante la temporada decembrina: quince años después de la ley 670 de 2001","title-short":"Quemados con pólvora en Cali-Colombia durante la temporada decembrina","URL":"https://revistas.unilibre.edu.co/index.php/iJEPH/article/view/11054","volume":"7","author":[{"family":"Tejeda-Puentes","given":"Doris Stella"},{"family":"Carrillo","given":"Mauricio Hernández"},{"family":"Londoño","given":"Oscar"}],"accessed":{"date-parts":[["2024",2,18]]},"issued":{"date-parts":[["2024"]]}}}],"schema":"https://github.com/citation-style-language/schema/raw/master/csl-citation.json"} </w:instrText>
      </w:r>
      <w:r w:rsidRPr="00FE7CDA">
        <w:rPr>
          <w:rFonts w:ascii="Arial" w:hAnsi="Arial" w:cs="Arial"/>
        </w:rPr>
        <w:fldChar w:fldCharType="separate"/>
      </w:r>
      <w:r w:rsidR="005B1351" w:rsidRPr="00BF7B56">
        <w:rPr>
          <w:rFonts w:ascii="Arial" w:hAnsi="Arial" w:cs="Arial"/>
          <w:noProof/>
          <w:lang w:val="en-US"/>
        </w:rPr>
        <w:t>(5)</w:t>
      </w:r>
      <w:r w:rsidRPr="00FE7CDA">
        <w:rPr>
          <w:rFonts w:ascii="Arial" w:hAnsi="Arial" w:cs="Arial"/>
        </w:rPr>
        <w:fldChar w:fldCharType="end"/>
      </w:r>
      <w:r w:rsidRPr="00BF7B56">
        <w:rPr>
          <w:rFonts w:ascii="Arial" w:hAnsi="Arial" w:cs="Arial"/>
          <w:lang w:val="en-US"/>
        </w:rPr>
        <w:t xml:space="preserve">. Other negative effects of pyrotechnic gunpowder are the increase in air pollution by particulate matter and toxins, poisoning by ingestion, noise pollution and considerably affects domestic and wildlife </w:t>
      </w:r>
      <w:r w:rsidRPr="00FE7CDA">
        <w:rPr>
          <w:rFonts w:ascii="Arial" w:hAnsi="Arial" w:cs="Arial"/>
        </w:rPr>
        <w:fldChar w:fldCharType="begin"/>
      </w:r>
      <w:r w:rsidR="00C317D6" w:rsidRPr="00BF7B56">
        <w:rPr>
          <w:rFonts w:ascii="Arial" w:hAnsi="Arial" w:cs="Arial"/>
          <w:lang w:val="en-US"/>
        </w:rPr>
        <w:instrText xml:space="preserve"> ADDIN ZOTERO_ITEM CSL_CITATION {"citationID":"vAtJpQYN","properties":{"formattedCitation":"(2,6)","plainCitation":"(2,6)","noteIndex":0},"citationItems":[{"id":1503,"uris":["http://zotero.org/users/11420499/items/28IVRFVG"],"itemData":{"id":1503,"type":"webpage","title":"Fireworks: air quality and health effects","URL":"https://dnr.wisconsin.gov/topic/AirQuality/Fireworks.html#:~:text=Short%2Dterm%20exposures%20can%20aggravate,to%20heart%20attacks%20and%20arrhythmias.","author":[{"family":"Wisconsin Department of Natural Resources","given":""}]}},{"id":1408,"uris":["http://zotero.org/groups/5366598/items/FRTYXXHG"],"itemData":{"id":1408,"type":"standard","title":"Conozca los efectos negativos de la alborada","URL":"https://www.udea.edu.co/wps/portal/udea/web/inicio/udea-noticias/udea-noticia/!ut/p/z0/fU8xDsIwEPsKS0d0AUqAsWJAQgwMCLW3oCOJ4KDk2iYgnk8KA2JhsWzLtmRAKAE9PfhEkcVTnXSF-jBfLMejIlcbpXOtCr3Np7PxarLbK1gD_g-kBb60LRaARnx0zwhlI12k-m4dZYrCrzrLzX14jwMvkQ1TyNS77dlKn_raQQw7Sza59VE6sjTsnEkj3pJJJ1yA5orVC60NY-s!/","author":[{"family":"Redacción UdeA Noticias","given":""},{"family":"Universidad de Antioquia","given":""}],"issued":{"date-parts":[["2019"]]}}}],"schema":"https://github.com/citation-style-language/schema/raw/master/csl-citation.json"} </w:instrText>
      </w:r>
      <w:r w:rsidRPr="00FE7CDA">
        <w:rPr>
          <w:rFonts w:ascii="Arial" w:hAnsi="Arial" w:cs="Arial"/>
        </w:rPr>
        <w:fldChar w:fldCharType="separate"/>
      </w:r>
      <w:r w:rsidR="005B1351" w:rsidRPr="00BF7B56">
        <w:rPr>
          <w:rFonts w:ascii="Arial" w:hAnsi="Arial" w:cs="Arial"/>
          <w:noProof/>
          <w:lang w:val="en-US"/>
        </w:rPr>
        <w:t>(2,6)</w:t>
      </w:r>
      <w:r w:rsidRPr="00FE7CDA">
        <w:rPr>
          <w:rFonts w:ascii="Arial" w:hAnsi="Arial" w:cs="Arial"/>
        </w:rPr>
        <w:fldChar w:fldCharType="end"/>
      </w:r>
      <w:r w:rsidRPr="00BF7B56">
        <w:rPr>
          <w:rFonts w:ascii="Arial" w:hAnsi="Arial" w:cs="Arial"/>
          <w:lang w:val="en-US"/>
        </w:rPr>
        <w:t>.</w:t>
      </w:r>
    </w:p>
    <w:p w14:paraId="013EDC8D" w14:textId="632E8109" w:rsidR="00012180" w:rsidRPr="00BF7B56" w:rsidRDefault="00012180" w:rsidP="00012180">
      <w:pPr>
        <w:pStyle w:val="ListParagraph"/>
        <w:spacing w:before="240" w:line="276" w:lineRule="auto"/>
        <w:ind w:left="0"/>
        <w:contextualSpacing w:val="0"/>
        <w:jc w:val="both"/>
        <w:rPr>
          <w:rFonts w:ascii="Arial" w:hAnsi="Arial" w:cs="Arial"/>
          <w:lang w:val="en-US"/>
        </w:rPr>
      </w:pPr>
      <w:r w:rsidRPr="00BF7B56">
        <w:rPr>
          <w:rFonts w:ascii="Arial" w:hAnsi="Arial" w:cs="Arial"/>
          <w:lang w:val="en-US"/>
        </w:rPr>
        <w:t xml:space="preserve">While these injuries are considered preventable, Puri et al. </w:t>
      </w:r>
      <w:r w:rsidRPr="00FE7CDA">
        <w:rPr>
          <w:rFonts w:ascii="Arial" w:hAnsi="Arial" w:cs="Arial"/>
        </w:rPr>
        <w:fldChar w:fldCharType="begin"/>
      </w:r>
      <w:r w:rsidR="00C317D6" w:rsidRPr="00BF7B56">
        <w:rPr>
          <w:rFonts w:ascii="Arial" w:hAnsi="Arial" w:cs="Arial"/>
          <w:lang w:val="en-US"/>
        </w:rPr>
        <w:instrText xml:space="preserve"> ADDIN ZOTERO_ITEM CSL_CITATION {"citationID":"t9n2Hod4","properties":{"formattedCitation":"(7)","plainCitation":"(7)","noteIndex":0},"citationItems":[{"id":1209,"uris":["http://zotero.org/groups/5366598/items/PH4PWUZA"],"itemData":{"id":1209,"type":"article-journal","container-title":"Journal of Plastic, Reconstructive &amp; Aesthetic Surgery","DOI":"10.1016/j.bjps.2007.12.080","ISSN":"1748-6815, 1878-0539","issue":"9","journalAbbreviation":"Journal of Plastic, Reconstructive &amp; Aesthetic Surgery","language":"English","note":"publisher: Elsevier\nPMID: 18603491","page":"1103-1111","source":"www.jprasurg.com","title":"Firework injuries: a ten-year study","title-short":"Firework injuries","volume":"62","author":[{"family":"Puri","given":"Vinita"},{"family":"Mahendru","given":"Sanjay"},{"family":"Rana","given":"Roshani"},{"family":"Deshpande","given":"Manish"}],"issued":{"date-parts":[["2009",9,1]]}}}],"schema":"https://github.com/citation-style-language/schema/raw/master/csl-citation.json"} </w:instrText>
      </w:r>
      <w:r w:rsidRPr="00FE7CDA">
        <w:rPr>
          <w:rFonts w:ascii="Arial" w:hAnsi="Arial" w:cs="Arial"/>
        </w:rPr>
        <w:fldChar w:fldCharType="separate"/>
      </w:r>
      <w:r w:rsidR="005B1351" w:rsidRPr="00BF7B56">
        <w:rPr>
          <w:rFonts w:ascii="Arial" w:hAnsi="Arial" w:cs="Arial"/>
          <w:noProof/>
          <w:lang w:val="en-US"/>
        </w:rPr>
        <w:t>(7)</w:t>
      </w:r>
      <w:r w:rsidRPr="00FE7CDA">
        <w:rPr>
          <w:rFonts w:ascii="Arial" w:hAnsi="Arial" w:cs="Arial"/>
        </w:rPr>
        <w:fldChar w:fldCharType="end"/>
      </w:r>
      <w:r w:rsidRPr="00BF7B56">
        <w:rPr>
          <w:rFonts w:ascii="Arial" w:hAnsi="Arial" w:cs="Arial"/>
          <w:lang w:val="en-US"/>
        </w:rPr>
        <w:t xml:space="preserve"> They identify four types of causes that lead to gunpowder injuries: </w:t>
      </w:r>
    </w:p>
    <w:p w14:paraId="639FCB1D" w14:textId="3722959D" w:rsidR="00012180" w:rsidRPr="00BF7B56" w:rsidRDefault="00012180" w:rsidP="005E73D7">
      <w:pPr>
        <w:pStyle w:val="ListParagraph"/>
        <w:numPr>
          <w:ilvl w:val="0"/>
          <w:numId w:val="5"/>
        </w:numPr>
        <w:spacing w:before="240" w:after="0" w:line="276" w:lineRule="auto"/>
        <w:contextualSpacing w:val="0"/>
        <w:jc w:val="both"/>
        <w:rPr>
          <w:rFonts w:ascii="Arial" w:hAnsi="Arial" w:cs="Arial"/>
          <w:lang w:val="en-US"/>
        </w:rPr>
      </w:pPr>
      <w:r w:rsidRPr="00BF7B56">
        <w:rPr>
          <w:rFonts w:ascii="Arial" w:hAnsi="Arial" w:cs="Arial"/>
          <w:lang w:val="en-US"/>
        </w:rPr>
        <w:t>Improper behavior – e.g., holding fireworks in your hand while they are being lit, altering fireworks, being too close to fireworks, picking up failed or defective fireworks for reuse –</w:t>
      </w:r>
    </w:p>
    <w:p w14:paraId="043FF2BA" w14:textId="2511CE43" w:rsidR="00012180" w:rsidRPr="00BF7B56" w:rsidRDefault="00012180" w:rsidP="005E73D7">
      <w:pPr>
        <w:pStyle w:val="ListParagraph"/>
        <w:numPr>
          <w:ilvl w:val="0"/>
          <w:numId w:val="5"/>
        </w:numPr>
        <w:spacing w:after="0" w:line="276" w:lineRule="auto"/>
        <w:contextualSpacing w:val="0"/>
        <w:jc w:val="both"/>
        <w:rPr>
          <w:rFonts w:ascii="Arial" w:hAnsi="Arial" w:cs="Arial"/>
          <w:lang w:val="en-US"/>
        </w:rPr>
      </w:pPr>
      <w:r w:rsidRPr="00BF7B56">
        <w:rPr>
          <w:rFonts w:ascii="Arial" w:hAnsi="Arial" w:cs="Arial"/>
          <w:lang w:val="en-US"/>
        </w:rPr>
        <w:t>Disturbance of fireworks – fireworks behave unpredictably –</w:t>
      </w:r>
    </w:p>
    <w:p w14:paraId="244F8AAF" w14:textId="77777777" w:rsidR="00012180" w:rsidRPr="00BF7B56" w:rsidRDefault="00012180" w:rsidP="005E73D7">
      <w:pPr>
        <w:pStyle w:val="ListParagraph"/>
        <w:numPr>
          <w:ilvl w:val="0"/>
          <w:numId w:val="5"/>
        </w:numPr>
        <w:spacing w:after="0" w:line="276" w:lineRule="auto"/>
        <w:contextualSpacing w:val="0"/>
        <w:jc w:val="both"/>
        <w:rPr>
          <w:rFonts w:ascii="Arial" w:hAnsi="Arial" w:cs="Arial"/>
          <w:lang w:val="en-US"/>
        </w:rPr>
      </w:pPr>
      <w:r w:rsidRPr="00BF7B56">
        <w:rPr>
          <w:rFonts w:ascii="Arial" w:hAnsi="Arial" w:cs="Arial"/>
          <w:lang w:val="en-US"/>
        </w:rPr>
        <w:t>Personal failure (delayed removal of lit fireworks or inadequate lighting), recurrent in adult handlers.</w:t>
      </w:r>
    </w:p>
    <w:p w14:paraId="2516B109" w14:textId="1E9ABF62" w:rsidR="00B972F1" w:rsidRPr="00552CC7" w:rsidRDefault="00012180" w:rsidP="00552CC7">
      <w:pPr>
        <w:pStyle w:val="ListParagraph"/>
        <w:numPr>
          <w:ilvl w:val="0"/>
          <w:numId w:val="5"/>
        </w:numPr>
        <w:spacing w:line="276" w:lineRule="auto"/>
        <w:contextualSpacing w:val="0"/>
        <w:jc w:val="both"/>
        <w:rPr>
          <w:rFonts w:ascii="Arial" w:hAnsi="Arial" w:cs="Arial"/>
        </w:rPr>
      </w:pPr>
      <w:r w:rsidRPr="00FE7CDA">
        <w:rPr>
          <w:rFonts w:ascii="Arial" w:hAnsi="Arial" w:cs="Arial"/>
        </w:rPr>
        <w:t>Innocent victims and bystanders</w:t>
      </w:r>
    </w:p>
    <w:p w14:paraId="28888F4A" w14:textId="070BDFE0" w:rsidR="00DA4512" w:rsidRPr="00DA4512" w:rsidRDefault="00DA4512" w:rsidP="00B972F1">
      <w:pPr>
        <w:pStyle w:val="Heading1"/>
        <w:jc w:val="both"/>
        <w:rPr>
          <w:rFonts w:ascii="Arial" w:hAnsi="Arial"/>
          <w:sz w:val="32"/>
          <w:lang w:val="es-ES"/>
        </w:rPr>
      </w:pPr>
      <w:r w:rsidRPr="00DA4512">
        <w:lastRenderedPageBreak/>
        <w:t>Quantifying the problem</w:t>
      </w:r>
    </w:p>
    <w:p w14:paraId="58C038BE" w14:textId="39A77489" w:rsidR="00463854" w:rsidRPr="00BF7B56" w:rsidRDefault="00463854" w:rsidP="00463854">
      <w:pPr>
        <w:jc w:val="both"/>
        <w:rPr>
          <w:rFonts w:ascii="Arial" w:hAnsi="Arial" w:cs="Arial"/>
          <w:lang w:val="en-US"/>
        </w:rPr>
      </w:pPr>
      <w:r w:rsidRPr="00BF7B56">
        <w:rPr>
          <w:rFonts w:ascii="Arial" w:hAnsi="Arial" w:cs="Arial"/>
          <w:lang w:val="en-US"/>
        </w:rPr>
        <w:t xml:space="preserve">Worldwide, the epidemiological behavior of those injured by pyrotechnic powder suggests a wide variation depending on the country and the time of year </w:t>
      </w:r>
      <w:r w:rsidRPr="00463854">
        <w:rPr>
          <w:rFonts w:ascii="Arial" w:hAnsi="Arial" w:cs="Arial"/>
        </w:rPr>
        <w:fldChar w:fldCharType="begin"/>
      </w:r>
      <w:r w:rsidR="00C317D6" w:rsidRPr="00BF7B56">
        <w:rPr>
          <w:rFonts w:ascii="Arial" w:hAnsi="Arial" w:cs="Arial"/>
          <w:lang w:val="en-US"/>
        </w:rPr>
        <w:instrText xml:space="preserve"> ADDIN ZOTERO_ITEM CSL_CITATION {"citationID":"2Ly8BxmU","properties":{"formattedCitation":"(8)","plainCitation":"(8)","noteIndex":0},"citationItems":[{"id":1215,"uris":["http://zotero.org/groups/5366598/items/GHMCWBGH"],"itemData":{"id":1215,"type":"article-journal","abstract":"1. TRAUMATISMOS POR EXPLOSION-Colombia 2. LESIONES POR EXPLOSION-Colombia 3.- RESIDUOS EXPLOSIVOS 4. ACCIDENTES POR EXPLOSIVOS 5. BOMBAS (DISPOSITIVOS EXPLOSIVOS) 6. SUSTANCIAS PELIGROSAS 7. INDUSTRIA DE EXPLOSIVOS 8. SUSTANCIAS, PRODUCTOS Y MATERIALES EXPLOSIVOS 9. SUSTANCIAS EXPLOSIVAS","collection-title":"III","container-title":"Observatorio Nacional de Salud, Instituto Nacional de Salud","DOI":"10.13140/RG.2.1.5144.7204","ISSN":"2389-9123","language":"en","note":"publisher: Unpublished","page":"76","title":"Pólvora","author":[{"family":"Castañeda-Orjuela","given":"Carlos A"},{"family":"Chaparro-Narváez","given":"Pablo E"},{"family":"Cotes-Cantillo","given":"Karol"},{"family":"Vargas-Sandoval","given":"Gina"},{"family":"Castillo","given":"Paula"},{"family":"Hoz-Restrepo","given":"Fernando De La"}],"issued":{"date-parts":[["2015"]]}}}],"schema":"https://github.com/citation-style-language/schema/raw/master/csl-citation.json"}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(8)</w:t>
      </w:r>
      <w:r w:rsidRPr="00463854">
        <w:rPr>
          <w:rFonts w:ascii="Arial" w:hAnsi="Arial" w:cs="Arial"/>
        </w:rPr>
        <w:fldChar w:fldCharType="end"/>
      </w:r>
      <w:r w:rsidRPr="00BF7B56">
        <w:rPr>
          <w:rFonts w:ascii="Arial" w:hAnsi="Arial" w:cs="Arial"/>
          <w:lang w:val="en-US"/>
        </w:rPr>
        <w:t xml:space="preserve">. Emergency centers in the United States refer more than 12,000 consultations for this cause per year </w:t>
      </w:r>
      <w:r w:rsidRPr="00463854">
        <w:rPr>
          <w:rFonts w:ascii="Arial" w:hAnsi="Arial" w:cs="Arial"/>
        </w:rPr>
        <w:fldChar w:fldCharType="begin"/>
      </w:r>
      <w:r w:rsidR="00C317D6" w:rsidRPr="00BF7B56">
        <w:rPr>
          <w:rFonts w:ascii="Arial" w:hAnsi="Arial" w:cs="Arial"/>
          <w:lang w:val="en-US"/>
        </w:rPr>
        <w:instrText xml:space="preserve"> ADDIN ZOTERO_ITEM CSL_CITATION {"citationID":"d6u6TXai","properties":{"formattedCitation":"(9)","plainCitation":"(9)","noteIndex":0},"citationItems":[{"id":1213,"uris":["http://zotero.org/groups/5366598/items/KZ2Z3PD6"],"itemData":{"id":1213,"type":"article-journal","abstract":"Los fuegos artificiales se utilizan en todo el mundo como parte de las celebraciones nacionales y culturales. Estos artefactos son capaces de infligir da  ̃ no como quemaduras y otro tipo de lesiones. En Colombia, los periodos en los que la incidencia de lesiones por fuegos artificiales aumenta importante son los de la celebración de la Navidad y de la noche de A  ̃ no Nuevo. Las lesiones por fuegos artificiales están relacionadas con la fabricación, el almacenamiento, el transporte y la comercialización, pero sobre todo, con su manipulación. Materiales y métodos: Se hizo un estudio observacional y descriptivo, y se utilizó como fuente de datos el Sistema Nacional de Vigilancia en Salud Pública (Sivigila) en el periodo comprendido entre enero de 2007 y diciembre de 2013. Resultados: Entre enero de 2007 y diciembre de 2013, se reportaron en Colombia 6.795 casos de lesiones ocasionadas por la manipulación y el uso inadecuado de la pólvora. Los eventos presentaron picos de ocurrencia los días 7, 8, 24, 25 y 31 de diciembre, así como el 1◦ de enero. Los departamentos con mayor tasa de lesiones fueron: Norte de Santander, Cauca, Quindío, Caldas, Nari  ̃ no y Antioquia. Conclusiones: Los fuegos artificiales son artefactos capaces de causar graves lesiones y muerte, al ser manipulados, elaborados y almacenados. Los ni  ̃ nos siguen siendo la población más afectada. Las medidas restrictivas solas no son eficaces y las campa  ̃ nas educativas han demostrado ser las más efectivas para evitar lesiones","container-title":"Pedriatría","DOI":"10.1016/j.rcpe.2016.04.001","issue":"2","journalAbbreviation":"Pediatr.","language":"Español","page":"41-47","title":"Epidemiología y seguimiento del impacto de la legislación sobre los fuegos artificiales en Colombia, Sur América","volume":"49","author":[{"family":"Ávila","given":"Albert Alejandro"},{"family":"Castro","given":"Tatiana"},{"family":"Aguilar","given":"Javier Alfonso"},{"family":"Valencia","given":"Carlos"}],"issued":{"date-parts":[["2016"]]}}}],"schema":"https://github.com/citation-style-language/schema/raw/master/csl-citation.json"}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(9)</w:t>
      </w:r>
      <w:r w:rsidRPr="00463854">
        <w:rPr>
          <w:rFonts w:ascii="Arial" w:hAnsi="Arial" w:cs="Arial"/>
        </w:rPr>
        <w:fldChar w:fldCharType="end"/>
      </w:r>
      <w:r w:rsidRPr="00BF7B56">
        <w:rPr>
          <w:rFonts w:ascii="Arial" w:hAnsi="Arial" w:cs="Arial"/>
          <w:lang w:val="en-US"/>
        </w:rPr>
        <w:t xml:space="preserve">, with an increasing trend between 2012 and 2022, going from an incidence rate of 2.61 to 3.05 per 100,000 inhabitants, respectively </w:t>
      </w:r>
      <w:r w:rsidRPr="00463854">
        <w:rPr>
          <w:rFonts w:ascii="Arial" w:hAnsi="Arial" w:cs="Arial"/>
        </w:rPr>
        <w:fldChar w:fldCharType="begin"/>
      </w:r>
      <w:r w:rsidR="00C317D6" w:rsidRPr="00BF7B56">
        <w:rPr>
          <w:rFonts w:ascii="Arial" w:hAnsi="Arial" w:cs="Arial"/>
          <w:lang w:val="en-US"/>
        </w:rPr>
        <w:instrText xml:space="preserve"> ADDIN ZOTERO_ITEM CSL_CITATION {"citationID":"Kj1awXh0","properties":{"formattedCitation":"(10)","plainCitation":"(10)","noteIndex":0},"citationItems":[{"id":1294,"uris":["http://zotero.org/groups/5366598/items/N7SFHS2S"],"itemData":{"id":1294,"type":"article-journal","abstract":"This study aimed to examine the epidemiology of firework-related injuries within a national population between 2012 and 2022, including the severity of injury by year, patient demographics, body region injured, firework type, and diagnosis category of injury.","container-title":"Injury Epidemiology","DOI":"10.1186/s40621-023-00446-5","ISSN":"2197-1714","issue":"1","journalAbbreviation":"Injury Epidemiology","page":"32","source":"BioMed Central","title":"The epidemiology of firework-related injuries in the US, 2012–2022","volume":"10","author":[{"family":"Winicki","given":"Nolan M."},{"family":"Waldrop","given":"Ian"},{"family":"Orozco","given":"Jesus V."},{"family":"Novak","given":"Daniel"},{"family":"Sheets","given":"Nicholas W."}],"issued":{"date-parts":[["2023",7,4]]}}}],"schema":"https://github.com/citation-style-language/schema/raw/master/csl-citation.json"}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(10)</w:t>
      </w:r>
      <w:r w:rsidRPr="00463854">
        <w:rPr>
          <w:rFonts w:ascii="Arial" w:hAnsi="Arial" w:cs="Arial"/>
        </w:rPr>
        <w:fldChar w:fldCharType="end"/>
      </w:r>
      <w:r w:rsidRPr="00BF7B56">
        <w:rPr>
          <w:rFonts w:ascii="Arial" w:hAnsi="Arial" w:cs="Arial"/>
          <w:lang w:val="en-US"/>
        </w:rPr>
        <w:t xml:space="preserve">. The literature on the phenomenon indicates that most lesions of this type occur in men </w:t>
      </w:r>
      <w:r w:rsidRPr="00463854">
        <w:rPr>
          <w:rFonts w:ascii="Arial" w:hAnsi="Arial" w:cs="Arial"/>
        </w:rPr>
        <w:fldChar w:fldCharType="begin"/>
      </w:r>
      <w:r w:rsidR="00C317D6" w:rsidRPr="00BF7B56">
        <w:rPr>
          <w:rFonts w:ascii="Arial" w:hAnsi="Arial" w:cs="Arial"/>
          <w:lang w:val="en-US"/>
        </w:rPr>
        <w:instrText xml:space="preserve"> ADDIN ZOTERO_ITEM CSL_CITATION {"citationID":"BFjMqny0","properties":{"formattedCitation":"(10,11)","plainCitation":"(10,11)","noteIndex":0},"citationItems":[{"id":1251,"uris":["http://zotero.org/groups/5366598/items/MTX9CTIL"],"itemData":{"id":1251,"type":"article-journal","abstract":"Aim To provide a systematic review on ocular firework trauma with emphasis on incidence and patient demographics, the extent of ocular trauma and visual function loss, and firework regulation effects on injury rates. Methods A literature search was performed using predetermined inclusion and exclusion criteria. Demographic characteristics of ocular firework casualties were obtained and incidence rates of sustained trauma and vision loss calculated. Results Twenty-six relevant articles were suitable for calculation of trauma incidence and patient demographics, of which 17 articles could be used for calculating trauma severity and vision loss. Victims were male (77%), young (82%) and often bystander (47%). Most of the trauma was mild and temporary. Penetrating eye trauma, globe contusions and burns accounted for 18.2%, with a 3.9% enucleation rate. Mean visual acuity was &gt;10/20 in 56.8%, with severe vision loss (&lt;10/200) in 16.4%. Countries using restrictive firework legislation show 87% less eye trauma (p&lt;0.005). Conclusions One in six ocular firework traumas show severe vision loss, mostly in young males. B</w:instrText>
      </w:r>
      <w:r w:rsidR="00C317D6">
        <w:rPr>
          <w:rFonts w:ascii="Arial" w:hAnsi="Arial" w:cs="Arial"/>
        </w:rPr>
        <w:instrText>ystanders are as frequently injured. Firework traumas are a preventable cause of severe ocular injury and blindness because countries using restrictive firewo</w:instrText>
      </w:r>
      <w:r w:rsidR="00C317D6" w:rsidRPr="00BF7B56">
        <w:rPr>
          <w:rFonts w:ascii="Arial" w:hAnsi="Arial" w:cs="Arial"/>
          <w:lang w:val="en-US"/>
        </w:rPr>
        <w:instrText xml:space="preserve">rk legislation have remarkable lower trauma incidence rates.","container-title":"British Journal of Ophthalmology","DOI":"10.1136/bjo.2009.168419","journalAbbreviation":"Br J Ophthalmol","note":"PMID: 19846415","page":"1586 - 1591","title":"Ocular firework trauma: a systematic review on incidence, severity, outcome and prevention","volume":"94","author":[{"family":"Wisse","given":"R."},{"family":"Bijlsma","given":"W."},{"family":"Stilma","given":"J."}],"issued":{"date-parts":[["2009"]]}}},{"id":1294,"uris":["http://zotero.org/groups/5366598/items/N7SFHS2S"],"itemData":{"id":1294,"type":"article-journal","abstract":"This study aimed to examine the epidemiology of firework-related injuries within a national population between 2012 and 2022, including the severity of injury by year, patient demographics, body region injured, firework type, and diagnosis category of injury.","container-title":"Injury Epidemiology","DOI":"10.1186/s40621-023-00446-5","ISSN":"2197-1714","issue":"1","journalAbbreviation":"Injury Epidemiology","page":"32","source":"BioMed Central","title":"The epidemiology of firework-related injuries in the US, 2012–2022","volume":"10","author":[{"family":"Winicki","given":"Nolan M."},{"family":"Waldrop","given":"Ian"},{"family":"Orozco","given":"Jesus V."},{"family":"Novak","given":"Daniel"},{"family":"Sheets","given":"Nicholas W."}],"issued":{"date-parts":[["2023",7,4]]}}}],"schema":"https://github.com/citation-style-language/schema/raw/master/csl-citation.json"}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(10,11)</w:t>
      </w:r>
      <w:r w:rsidRPr="00463854">
        <w:rPr>
          <w:rFonts w:ascii="Arial" w:hAnsi="Arial" w:cs="Arial"/>
        </w:rPr>
        <w:fldChar w:fldCharType="end"/>
      </w:r>
      <w:r w:rsidRPr="00BF7B56">
        <w:rPr>
          <w:rFonts w:ascii="Arial" w:hAnsi="Arial" w:cs="Arial"/>
          <w:lang w:val="en-US"/>
        </w:rPr>
        <w:t xml:space="preserve">, teens and young adults </w:t>
      </w:r>
      <w:r w:rsidRPr="00463854">
        <w:rPr>
          <w:rFonts w:ascii="Arial" w:hAnsi="Arial" w:cs="Arial"/>
        </w:rPr>
        <w:fldChar w:fldCharType="begin"/>
      </w:r>
      <w:r w:rsidR="00C317D6" w:rsidRPr="00BF7B56">
        <w:rPr>
          <w:rFonts w:ascii="Arial" w:hAnsi="Arial" w:cs="Arial"/>
          <w:lang w:val="en-US"/>
        </w:rPr>
        <w:instrText xml:space="preserve"> ADDIN ZOTERO_ITEM CSL_CITATION {"citationID":"2cfrTU7L","properties":{"formattedCitation":"(8)","plainCitation":"(8)","noteIndex":0},"citationItems":[{"id":1215,"uris":["http://zotero.org/groups/5366598/items/GHMCWBGH"],"itemData":{"id":1215,"type":"article-journal","abstract":"1. TRAUMATISMOS POR EXPLOSION-Colombia 2. LESIONES POR EXPLOSION-Colombia 3.- RESIDUOS EXPLOSIVOS 4. ACCIDENTES POR EXPLOSIVOS 5. BOMBAS (DISPOSITIVOS EXPLOSIVOS) 6. SUSTANCIAS PELIGROSAS 7. INDUSTRIA DE EXPLOSIVOS 8. SUSTANCIAS, PRODUCTOS Y MATERIALES EXPLOSIVOS 9. SUSTANCIAS EXPLOSIVAS","collection-title":"III","container-title":"Observatorio Nacional de Salud, Instituto Nacional de Salud","DOI":"10.13140/RG.2.1.5144.7204","ISSN":"2389-9123","language":"en","note":"publisher: Unpublished","page":"76","title":"Pólvora","author":[{"family":"Castañeda-Orjuela","given":"Carlos A"},{"family":"Chaparro-Narváez","given":"Pablo E"},{"family":"Cotes-Cantillo","given":"Karol"},{"family":"Vargas-Sandoval","given":"Gina"},{"family":"Castillo","given":"Paula"},{"family":"Hoz-Restrepo","given":"Fernando De La"}],"issued":{"date-parts":[["2015"]]}}}],"schema":"https://github.com/citation-style-language/schema/raw/master/csl-citation.json"}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(8)</w:t>
      </w:r>
      <w:r w:rsidRPr="00463854">
        <w:rPr>
          <w:rFonts w:ascii="Arial" w:hAnsi="Arial" w:cs="Arial"/>
        </w:rPr>
        <w:fldChar w:fldCharType="end"/>
      </w:r>
      <w:r w:rsidRPr="00BF7B56">
        <w:rPr>
          <w:rFonts w:ascii="Arial" w:hAnsi="Arial" w:cs="Arial"/>
          <w:lang w:val="en-US"/>
        </w:rPr>
        <w:t xml:space="preserve">, with mainly eye and limb injuries </w:t>
      </w:r>
      <w:r w:rsidRPr="00463854">
        <w:rPr>
          <w:rFonts w:ascii="Arial" w:hAnsi="Arial" w:cs="Arial"/>
        </w:rPr>
        <w:fldChar w:fldCharType="begin"/>
      </w:r>
      <w:r w:rsidR="00C317D6" w:rsidRPr="00BF7B56">
        <w:rPr>
          <w:rFonts w:ascii="Arial" w:hAnsi="Arial" w:cs="Arial"/>
          <w:lang w:val="en-US"/>
        </w:rPr>
        <w:instrText xml:space="preserve"> ADDIN ZOTERO_ITEM CSL_CITATION {"citationID":"y2E7nnSn","properties":{"formattedCitation":"(11,12)","plainCitation":"(11,12)","noteIndex":0},"citationItems":[{"id":1251,"uris":["http://zotero.org/groups</w:instrText>
      </w:r>
      <w:r w:rsidR="00C317D6">
        <w:rPr>
          <w:rFonts w:ascii="Arial" w:hAnsi="Arial" w:cs="Arial"/>
        </w:rPr>
        <w:instrText>/5366598/items/MTX9CTIL"],"itemData":{"id":1251,"type":"article-journal","abstract":"Aim To provide a systematic review on ocular firework trauma with emphasis on incidence and patient demographics, the extent of ocular trauma and visual function loss, and firework regulation effects on injury rates. Methods A literature search was performed using predetermined inclusion and exclusion criteria. Demographic characteristics of ocular firework casualties were obtained and incidence rates of sustained trauma and vision loss calculated. Results Twenty-six relevant articles were suitable for calculation of trauma incidence and patient demographics, of which 17 articles could be used for calculating trauma severity and vision loss. Victims were male (77%), young (82%) and often bystander (47%). Most of the trauma was mild and temporary. Penetrating eye trauma, globe contusions and burns accounted for 18.2%, with a 3.9% enucleation rate. Mean visual acuity was &gt;10/20 in 56.8%, with severe vision loss (&lt;10/200) in 16.4%. Countries using restrictive firework legislation show 87% less eye trauma (p&lt;0.005). Conclusions One in six ocular firework traumas show severe vision loss, mostly in young males. Bystanders are as frequently injured. Firework traumas are a preventable cause of severe ocular injury and blindness because countries using restrictive firework legislation have remarkable lower trauma incidence rates.","container-title":"British Journal of Ophthalmology","DOI":"10.1136/bjo.2009.168419","journalAbbreviation":"Br J Ophthalmol","note":"PMID: 19846415","page":"1586 - 1591","title":"Ocular firework trauma: a systematic review on incidence, severity, outcome and prevention","volume":"94","author":[{"family":"Wisse","given":"R."},{"family":"Bijlsma","given":"W."},{"family":"Stilma","given":"J."}],"issued":{"date-parts":[["2009"]]}}},{"id":1117,"uris":["http://zotero.org/groups/5366598/items/629XYU83"],"itemData":{"id":1117,"type":"article-journal","abstract":"OBJECTIVE: People in the Netherlands are legally allowed to celebrate New Year's Eve with consumer fireworks. The aim of this study was to provide detailed information about the patient and injury characteristics, medical and societal costs, and clinical and functional outcome in patients with injuries resulting from this tradition.\nMETHODS: A multicenter, prospective, observational case series performed in the Southwest Netherlands trauma region, which reflects 15% of the country and includes a level I trauma center, a specialized burn center, a specialized eye hospital, and 13 general hospitals. All patients with any injury caused by consumer fireworks, treated at a Dutch hospital between December 1, 2017 and January 31, 2018, were eligible for inclusion. Exclusion criteria were unknown contact information or insufficient understanding of Dutch or English language. The primary outcome measure was injury characteristics. Secondary outcome measures included treatment, direct medical and indirect societal costs, and clinical and functional outcome until one year after trauma.\nRESULTS: 54 out of 63 eligible patients agreed to participate in this study. The majority were males (N = 50; 93%), 50% were children below 16 years of age, and 46% were bystanders. Injuries were mainly located to the upper extremity or eyes, and were mostly burns (N = 38; 48%) of partial thickness (N = 32; 84%). Fifteen (28%) patients were admitted and 11 (20%) patients n</w:instrText>
      </w:r>
      <w:r w:rsidR="00C317D6" w:rsidRPr="00BF7B56">
        <w:rPr>
          <w:rFonts w:ascii="Arial" w:hAnsi="Arial" w:cs="Arial"/>
          <w:lang w:val="en-US"/>
        </w:rPr>
        <w:instrText xml:space="preserve">eeded surgical treatment. The mean total costs per patient were €6,320 (95% CI €3,400 to €9,245). The most important cost category was hospital admission. Only few patients reported complaints in patient-reported quality of life and functional outcome after 12 months follow-up.\nCONCLUSION: This study found that young males are most vulnerable for fireworks injuries and that most injuries consist of burns, located to the arm and hand, and eye injuries. On the long-term only few patients experienced reduced quality of life and functional limitations.","container-title":"PloS One","DOI":"10.1371/journal.pone.0230382","ISSN":"1932-6203","issue":"3","journalAbbreviation":"PLoS One","language":"eng","note":"PMID: 32191749\nPMCID: PMC7082032","page":"e0230382","source":"PubMed","title":"Epidemiology, treatment, costs, and long-term outcomes of patients with fireworks-related injuries (ROCKET); a multicenter prospective observational case series","volume":"15","author":[{"family":"Van Yperen","given":"Daan T."},{"family":"Van der Vlies","given":"Cornelis H."},{"family":"De Faber","given":"J. Tjeerd H. N."},{"family":"Smit","given":"Xander"},{"family":"Polinder","given":"Suzanne"},{"family":"Penders","given":"Charlotte J. M."},{"family":"Van Lieshout","given":"Esther M. M."},{"family":"Verhofstad","given":"Michael H. J."},{"literal":"ROCKET study group"}],"issued":{"date-parts":[["2020"]]}}}],"schema":"https://github.com/citation-style-language/schema/raw/master/csl-citation.json"}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(11,12)</w:t>
      </w:r>
      <w:r w:rsidRPr="00463854">
        <w:rPr>
          <w:rFonts w:ascii="Arial" w:hAnsi="Arial" w:cs="Arial"/>
        </w:rPr>
        <w:fldChar w:fldCharType="end"/>
      </w:r>
      <w:r w:rsidRPr="00BF7B56">
        <w:rPr>
          <w:rFonts w:ascii="Arial" w:hAnsi="Arial" w:cs="Arial"/>
          <w:lang w:val="en-US"/>
        </w:rPr>
        <w:t xml:space="preserve">, with mild and temporary traumas </w:t>
      </w:r>
      <w:r w:rsidRPr="00463854">
        <w:rPr>
          <w:rFonts w:ascii="Arial" w:hAnsi="Arial" w:cs="Arial"/>
        </w:rPr>
        <w:fldChar w:fldCharType="begin"/>
      </w:r>
      <w:r w:rsidR="00C317D6" w:rsidRPr="00BF7B56">
        <w:rPr>
          <w:rFonts w:ascii="Arial" w:hAnsi="Arial" w:cs="Arial"/>
          <w:lang w:val="en-US"/>
        </w:rPr>
        <w:instrText xml:space="preserve"> ADDIN ZOTERO_ITEM CSL_CITATION {"citationID":"HYxBrjf2","properties":{"formattedCitation":"(11)","plainCitation":"(11)","noteIndex":0},"citationItems":[{"id":1251,"uris":["http://zotero.org/groups/5366598/items/MTX9CTIL"],"itemData":{"id":1251,"type":"article-journal","abstract":"Aim To provide a systematic review on ocular firework trauma with emphasis on incidence and patient demographics, the extent of ocular trauma and visual function loss, and firework regulation effects on injury rates. Methods A literature search was performed using predetermined inclusion and exclusion criteria. Demographic characteristics of ocular firework casualties were obtained and incidence rates of sustained trauma and vision loss calculated. Results Twenty-six relevant articles were suitable for calculation of trauma incidence and patient demographics, of which 17 articles could be used for calculating trauma severity and vision loss. Victims were male (77%), young (82%) and often bystander (47%). Most of the trauma was mild and temporary. Penetrating eye trauma, globe contusions and burns accounted for 18.2%, with a 3.9% enucleation rate. Mean visual acuity was &gt;10/20 in 56.8%, with severe vision loss (&lt;10/200) in 16.4%. Countries using restrictive firework legislation show 87% less eye trauma (p&lt;0.005). Conclusions One in six ocular firework traumas show severe vision loss, mostly in young males. Bystanders are as frequently injured. Firework traumas are a preventable cause of severe ocular injury and blindness because countries using restrictive firework legislation have remarkable lower trauma incidence rates.","container-title":"British Journal of Ophthalmology","DOI":"10.1136/bjo.2009.168419","journalAbbreviation":"Br J Ophthalmol","note":"PMID: 19846415","page":"1586 - 1591","title":"Ocular firework trauma: a systematic review on incidence, severity, outcome and prevention","volume":"94","author":[{"family":"Wisse","given":"R."},{"family":"Bijlsma","given":"W."},{"family":"Stilma","given":"J."}],"issued":{"date-parts":[["2009"]]}}}],"schema":"https://github.com/citation-style-language/schema/raw/master/csl-citation.json"}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(11)</w:t>
      </w:r>
      <w:r w:rsidRPr="00463854">
        <w:rPr>
          <w:rFonts w:ascii="Arial" w:hAnsi="Arial" w:cs="Arial"/>
        </w:rPr>
        <w:fldChar w:fldCharType="end"/>
      </w:r>
      <w:r w:rsidRPr="00BF7B56">
        <w:rPr>
          <w:rFonts w:ascii="Arial" w:hAnsi="Arial" w:cs="Arial"/>
          <w:lang w:val="en-US"/>
        </w:rPr>
        <w:t xml:space="preserve">, caused by the misuse of the devices, by the failure of the devices or by the illegal origin of the devices </w:t>
      </w:r>
      <w:r w:rsidRPr="00463854">
        <w:rPr>
          <w:rFonts w:ascii="Arial" w:hAnsi="Arial" w:cs="Arial"/>
        </w:rPr>
        <w:fldChar w:fldCharType="begin"/>
      </w:r>
      <w:r w:rsidR="00C317D6" w:rsidRPr="00BF7B56">
        <w:rPr>
          <w:rFonts w:ascii="Arial" w:hAnsi="Arial" w:cs="Arial"/>
          <w:lang w:val="en-US"/>
        </w:rPr>
        <w:instrText xml:space="preserve"> ADDIN ZOTERO_ITEM CSL_CITATION {"citationID":"DfihZkLd","properties":{"formattedCitation":"(7,10)","plainCitation":"(7,10)","noteIndex":0},"citationItems":[{"id":1294,"uris":["http://zotero.org/groups/5366598/items/N7SFHS2S"],"itemData":{"id":1294,"type":"article-journal","abstract":"This study aimed to examine the epidemiology of firework-related injuries within a national population between 2012 and 2022, including the severity of injury by year, patient demographics, body region injured, firework type, and diagnosis category of injury.","container-title":"Injury Epidemiology","DOI":"10.1186/s40621-023-00446-5","ISSN":"2197-1714","issue":"1","journalAbbreviation":"Injury Epidemiology","page":"32","source":"BioMed Central","title":"The epidemiology of firework-related injuries in the US, 2012–2022","volume":"10","author":[{"family":"Winicki","given":"Nolan M."},{"family":"Waldrop","given":"Ian"},{"family":"Orozco","given":"Jesus V."},{"family":"Novak","given":"Daniel"},{"family":"Sheets","given":"Nicholas W."}],"issued":{"date-parts":[["2023",7,4]]}}},{"id":1209,"uris":["http://zotero.org/groups/5366598/items/PH4PWUZA"],"itemData":{"id":1209,"type":"article-journal","container-title":"Journal of Plastic, Reconstructive &amp; Aesthetic Surgery","DOI":"10.1016/j.bjps.2007.12.080","ISSN":"1748-6815, 1878-0539","issue":"9","journalAbbreviation":"Journal of Plastic, Reconstructive &amp; Aesthetic Surgery","language":"English","note":"publisher: Elsevier\nPMID: 18603491","page":"1103-1111","source":"www.jprasurg.com","title":"Firework injuries: a ten-year study","title-short":"Firework injuries","volume":"62","author":[{"family":"Puri","given":"Vinita"},{"family":"Mahendru","given":"Sanjay"},{"family":"Rana","given":"Roshani"},{"family":"Deshpande","given":"Manish"}],"issued":{"date-parts":[["2009",9,1]]}}}],"schema":"https://github.com/citation-style-language/schema/raw/master/csl-citation.json"} </w:instrText>
      </w:r>
      <w:r w:rsidRPr="00463854">
        <w:rPr>
          <w:rFonts w:ascii="Arial" w:hAnsi="Arial" w:cs="Arial"/>
        </w:rPr>
        <w:fldChar w:fldCharType="separate"/>
      </w:r>
      <w:r w:rsidR="00AE4EA1" w:rsidRPr="00BF7B56">
        <w:rPr>
          <w:rFonts w:ascii="Arial" w:hAnsi="Arial" w:cs="Arial"/>
          <w:lang w:val="en-US"/>
        </w:rPr>
        <w:t>(7,10)</w:t>
      </w:r>
      <w:r w:rsidRPr="00463854">
        <w:rPr>
          <w:rFonts w:ascii="Arial" w:hAnsi="Arial" w:cs="Arial"/>
        </w:rPr>
        <w:fldChar w:fldCharType="end"/>
      </w:r>
      <w:r w:rsidRPr="00BF7B56">
        <w:rPr>
          <w:rFonts w:ascii="Arial" w:hAnsi="Arial" w:cs="Arial"/>
          <w:lang w:val="en-US"/>
        </w:rPr>
        <w:t>.</w:t>
      </w:r>
    </w:p>
    <w:p w14:paraId="5A3D0FD3" w14:textId="5404F79A" w:rsidR="00E457E5" w:rsidRPr="00BF7B56" w:rsidRDefault="006412D2" w:rsidP="2DCE6365">
      <w:pPr>
        <w:pStyle w:val="ListParagraph"/>
        <w:spacing w:before="240" w:line="276" w:lineRule="auto"/>
        <w:ind w:left="0"/>
        <w:jc w:val="both"/>
        <w:rPr>
          <w:rFonts w:ascii="Arial" w:hAnsi="Arial" w:cs="Arial"/>
          <w:lang w:val="en-US"/>
        </w:rPr>
      </w:pPr>
      <w:r w:rsidRPr="00BF7B56">
        <w:rPr>
          <w:rFonts w:ascii="Arial" w:eastAsiaTheme="minorEastAsia" w:hAnsi="Arial" w:cs="Arial"/>
          <w:lang w:val="en-US"/>
        </w:rPr>
        <w:t xml:space="preserve">According to the American Pyrotechnics Association, total fireworks consumption in the United States has increased 2.66-fold between 2000 and 2020, driven by non-professional demand. While demand for professionally purchased fireworks declined from £50.6 million to £18.7 million, consumer consumption of fireworks increased by £283.8 million </w:t>
      </w:r>
      <w:r w:rsidRPr="00E43327">
        <w:rPr>
          <w:rFonts w:ascii="Arial" w:hAnsi="Arial" w:cs="Arial"/>
          <w:sz w:val="24"/>
          <w:szCs w:val="24"/>
        </w:rPr>
        <w:fldChar w:fldCharType="begin"/>
      </w:r>
      <w:r w:rsidR="00C317D6" w:rsidRPr="00BF7B56">
        <w:rPr>
          <w:rFonts w:ascii="Arial" w:hAnsi="Arial" w:cs="Arial"/>
          <w:sz w:val="24"/>
          <w:szCs w:val="24"/>
          <w:lang w:val="en-US"/>
        </w:rPr>
        <w:instrText xml:space="preserve"> ADDIN ZOTERO_ITEM CSL_CITATION {"citationID":"F9gKMFTi","properties":{"formattedCitation":"(1)","plainCitation":"(1)","noteIndex":0},"citationItems":[{"id":1421,"uris":["http://zotero.org/users/11420499/items/BTQLYA83"],"itemData":{"id":1421,"type":"article-journal","abstract":"Purpose\n              We evaluated the impact of Senate Bill 489 passed in May 2017, allowing the sale and use of fireworks in Iowa 1 June to 8 July and 10 December to 3 January, on hospital presentations for firework injuries in the state. To identify the public health implications of this law, we conducted a detailed subanalysis of hospital presentations to the two level I trauma centres.\n            \n            \n              Methods\n              \n                Hospital presentations for firework injuries from 1 June 2014 to 31 July 2019 were identified using the Iowa Hospital Admission database and registries and medical records of Iowa’s two level 1 trauma centres. Trauma centres’ data were reviewed to obtain demographics, injury information and hospital course. Prefirework and postfirework legalisation state data were compared using negative binomial regression analysis. Trauma centre data detailing injuries were compared using </w:instrText>
      </w:r>
      <w:r w:rsidR="00C317D6" w:rsidRPr="00E43327">
        <w:rPr>
          <w:rFonts w:ascii="Arial" w:hAnsi="Arial" w:cs="Arial"/>
          <w:sz w:val="24"/>
          <w:szCs w:val="24"/>
        </w:rPr>
        <w:instrText>χ</w:instrText>
      </w:r>
      <w:r w:rsidR="00C317D6" w:rsidRPr="00BF7B56">
        <w:rPr>
          <w:rFonts w:ascii="Arial" w:hAnsi="Arial" w:cs="Arial"/>
          <w:sz w:val="24"/>
          <w:szCs w:val="24"/>
          <w:lang w:val="en-US"/>
        </w:rPr>
        <w:instrText xml:space="preserve">\n                2\n                and Mann-Whitney U tests as appropriate.\n              \n            \n            \n              Results\n              Emergency department (ED) visits and hospital admissions for firework injuries increased in Iowa post-legalisation (B-estimate=0.598±0.073, p&lt;0.001 and B-estimate=0.612±0.322, p=0.058, respectively). ED visits increased postlegalisation in July (73.6% vs 64.5%; p=0.008), reflecting an increase in paediatric admissions (81.8% vs 62.5%; p=0.006). Trauma centres’ data showed similar trends. The most common injury site across both study periods was the hands (48.5%), followed by the eyes (34.3%) and face (28.3%). Amputations increased from 0 prelegalisation to 16.2% postlegalisation.\n            \n            \n              Conclusion\n              Firework legalisation led to an increase in the number of admissions and more severe injuries.","container-title":"Injury Prevention","DOI":"10.1136/ip-2022-044616","ISSN":"1353-8047, 1475-5785","issue":"6","journalAbbreviation":"Inj Prev","language":"en","page":"553-559","source":"DOI.org (Crossref)","title":"Firework injuries remain high in years after legalisation: its impact on children","title-short":"Firework injuries remain high in years after legalisation","volume":"28","author":[{"family":"Galet","given":"Colette"},{"family":"Slagel","given":"Isaac"},{"family":"Froehlich","given":"Adam"},{"family":"Bobb","given":"Morgan"},{"family":"Lilienthal","given":"Michele"},{"family":"Fuchsen","given":"Elizabeth"},{"family":"Harland","given":"Karisa K"},{"family":"Pelaez","given":"Carlos A"},{"family":"Skeete","given":"Dionne A"},{"family":"Takacs","given":"Michael E"}],"issued":{"date-parts":[["2022",12]]}}}],"schema":"https://github.com/citation-style-language/schema/raw/master/csl-citation.json"} </w:instrText>
      </w:r>
      <w:r w:rsidRPr="00E43327">
        <w:rPr>
          <w:rFonts w:ascii="Arial" w:hAnsi="Arial" w:cs="Arial"/>
          <w:sz w:val="24"/>
          <w:szCs w:val="24"/>
        </w:rPr>
        <w:fldChar w:fldCharType="separate"/>
      </w:r>
      <w:r w:rsidRPr="00BF7B56">
        <w:rPr>
          <w:rFonts w:ascii="Arial" w:eastAsiaTheme="minorEastAsia" w:hAnsi="Arial" w:cs="Arial"/>
          <w:lang w:val="en-US"/>
        </w:rPr>
        <w:t>(1)</w:t>
      </w:r>
      <w:r w:rsidRPr="00E43327">
        <w:rPr>
          <w:rFonts w:ascii="Arial" w:hAnsi="Arial" w:cs="Arial"/>
          <w:sz w:val="24"/>
          <w:szCs w:val="24"/>
        </w:rPr>
        <w:fldChar w:fldCharType="end"/>
      </w:r>
      <w:r w:rsidRPr="00BF7B56">
        <w:rPr>
          <w:rFonts w:ascii="Arial" w:eastAsiaTheme="minorEastAsia" w:hAnsi="Arial" w:cs="Arial"/>
          <w:lang w:val="en-US"/>
        </w:rPr>
        <w:t>.</w:t>
      </w:r>
    </w:p>
    <w:p w14:paraId="535BEFED" w14:textId="507F8F43" w:rsidR="00B972F1" w:rsidRPr="00BF7B56" w:rsidRDefault="00B972F1" w:rsidP="00CA488B">
      <w:pPr>
        <w:spacing w:before="240"/>
        <w:jc w:val="both"/>
        <w:rPr>
          <w:rFonts w:ascii="Arial" w:hAnsi="Arial" w:cs="Arial"/>
          <w:lang w:val="en-US"/>
        </w:rPr>
      </w:pPr>
      <w:r w:rsidRPr="00BF7B56">
        <w:rPr>
          <w:rFonts w:ascii="Arial" w:hAnsi="Arial" w:cs="Arial"/>
          <w:color w:val="000000"/>
          <w:lang w:val="en-US"/>
        </w:rPr>
        <w:t xml:space="preserve">Between 2007 and 2022 </w:t>
      </w:r>
      <w:r w:rsidRPr="00BF7B56">
        <w:rPr>
          <w:rFonts w:ascii="Arial" w:hAnsi="Arial" w:cs="Arial"/>
          <w:lang w:val="en-US"/>
        </w:rPr>
        <w:t>20,649 injuries from pyrotechnic gunpowder were reported in Colombia, approximately 1,291 events per year and an average rate of 2.77 injuries per 100,000 inhabitants. The rates ranged from 0.64 cases in 2007 to 2.92 in 2022, the years 2015 and 2017 were the periods with the highest statistics, reaching 4.34 cases (n=2,012; 9.74%) and 3.75 (n=1,778; 8.61%) per 100,000 inhabitants, respectively (</w:t>
      </w:r>
      <w:r w:rsidR="00551DDC" w:rsidRPr="00551DDC">
        <w:rPr>
          <w:rFonts w:ascii="Arial" w:hAnsi="Arial" w:cs="Arial"/>
        </w:rPr>
        <w:fldChar w:fldCharType="begin"/>
      </w:r>
      <w:r w:rsidR="00551DDC" w:rsidRPr="00BF7B56">
        <w:rPr>
          <w:rFonts w:ascii="Arial" w:hAnsi="Arial" w:cs="Arial"/>
          <w:lang w:val="en-US"/>
        </w:rPr>
        <w:instrText xml:space="preserve"> REF _Ref168670311 \h  \* MERGEFORMAT </w:instrText>
      </w:r>
      <w:r w:rsidR="00551DDC" w:rsidRPr="00551DDC">
        <w:rPr>
          <w:rFonts w:ascii="Arial" w:hAnsi="Arial" w:cs="Arial"/>
        </w:rPr>
      </w:r>
      <w:r w:rsidR="00551DDC" w:rsidRPr="00551DDC">
        <w:rPr>
          <w:rFonts w:ascii="Arial" w:hAnsi="Arial" w:cs="Arial"/>
        </w:rPr>
        <w:fldChar w:fldCharType="separate"/>
      </w:r>
      <w:r w:rsidR="00551DDC" w:rsidRPr="00BF7B56">
        <w:rPr>
          <w:rFonts w:ascii="Arial" w:hAnsi="Arial" w:cs="Arial"/>
          <w:lang w:val="en-US"/>
        </w:rPr>
        <w:t xml:space="preserve">Graphic </w:t>
      </w:r>
      <w:r w:rsidR="00551DDC" w:rsidRPr="00BF7B56">
        <w:rPr>
          <w:rFonts w:ascii="Arial" w:hAnsi="Arial" w:cs="Arial"/>
          <w:noProof/>
          <w:lang w:val="en-US"/>
        </w:rPr>
        <w:t>1</w:t>
      </w:r>
      <w:r w:rsidR="00551DDC" w:rsidRPr="00551DDC">
        <w:rPr>
          <w:rFonts w:ascii="Arial" w:hAnsi="Arial" w:cs="Arial"/>
        </w:rPr>
        <w:fldChar w:fldCharType="end"/>
      </w:r>
      <w:r w:rsidR="00551DDC" w:rsidRPr="00BF7B56">
        <w:rPr>
          <w:rFonts w:ascii="Arial" w:hAnsi="Arial" w:cs="Arial"/>
          <w:lang w:val="en-US"/>
        </w:rPr>
        <w:t xml:space="preserve">). </w:t>
      </w:r>
    </w:p>
    <w:p w14:paraId="66220095" w14:textId="5C4C5B80" w:rsidR="005F5520" w:rsidRPr="00BF7B56" w:rsidRDefault="005F5520" w:rsidP="005537D7">
      <w:pPr>
        <w:pStyle w:val="Caption"/>
        <w:keepNext/>
        <w:jc w:val="center"/>
        <w:rPr>
          <w:rFonts w:ascii="Arial" w:hAnsi="Arial" w:cs="Arial"/>
          <w:i w:val="0"/>
          <w:iCs w:val="0"/>
          <w:color w:val="auto"/>
          <w:lang w:val="en-US"/>
        </w:rPr>
      </w:pPr>
      <w:bookmarkStart w:id="0" w:name="_Ref168670311"/>
      <w:r w:rsidRPr="00BF7B56">
        <w:rPr>
          <w:rFonts w:ascii="Arial" w:hAnsi="Arial" w:cs="Arial"/>
          <w:b/>
          <w:bCs/>
          <w:i w:val="0"/>
          <w:iCs w:val="0"/>
          <w:color w:val="auto"/>
          <w:lang w:val="en-US"/>
        </w:rPr>
        <w:t xml:space="preserve">Graphic </w:t>
      </w:r>
      <w:r w:rsidRPr="005537D7">
        <w:rPr>
          <w:rFonts w:ascii="Arial" w:hAnsi="Arial" w:cs="Arial"/>
          <w:b/>
          <w:bCs/>
          <w:i w:val="0"/>
          <w:iCs w:val="0"/>
          <w:color w:val="auto"/>
        </w:rPr>
        <w:fldChar w:fldCharType="begin"/>
      </w:r>
      <w:r w:rsidRPr="00BF7B56">
        <w:rPr>
          <w:rFonts w:ascii="Arial" w:hAnsi="Arial" w:cs="Arial"/>
          <w:b/>
          <w:bCs/>
          <w:i w:val="0"/>
          <w:iCs w:val="0"/>
          <w:color w:val="auto"/>
          <w:lang w:val="en-US"/>
        </w:rPr>
        <w:instrText xml:space="preserve"> SEQ Gráfico \* ARABIC </w:instrText>
      </w:r>
      <w:r w:rsidRPr="005537D7">
        <w:rPr>
          <w:rFonts w:ascii="Arial" w:hAnsi="Arial" w:cs="Arial"/>
          <w:b/>
          <w:bCs/>
          <w:i w:val="0"/>
          <w:iCs w:val="0"/>
          <w:color w:val="auto"/>
        </w:rPr>
        <w:fldChar w:fldCharType="separate"/>
      </w:r>
      <w:r w:rsidR="005537D7" w:rsidRPr="00BF7B56">
        <w:rPr>
          <w:rFonts w:ascii="Arial" w:hAnsi="Arial" w:cs="Arial"/>
          <w:b/>
          <w:bCs/>
          <w:i w:val="0"/>
          <w:iCs w:val="0"/>
          <w:noProof/>
          <w:color w:val="auto"/>
          <w:lang w:val="en-US"/>
        </w:rPr>
        <w:t>1</w:t>
      </w:r>
      <w:r w:rsidRPr="005537D7">
        <w:rPr>
          <w:rFonts w:ascii="Arial" w:hAnsi="Arial" w:cs="Arial"/>
          <w:b/>
          <w:bCs/>
          <w:i w:val="0"/>
          <w:iCs w:val="0"/>
          <w:color w:val="auto"/>
        </w:rPr>
        <w:fldChar w:fldCharType="end"/>
      </w:r>
      <w:bookmarkEnd w:id="0"/>
      <w:r w:rsidR="005537D7" w:rsidRPr="00BF7B56">
        <w:rPr>
          <w:rFonts w:ascii="Arial" w:hAnsi="Arial" w:cs="Arial"/>
          <w:b/>
          <w:bCs/>
          <w:i w:val="0"/>
          <w:iCs w:val="0"/>
          <w:color w:val="auto"/>
          <w:lang w:val="en-US"/>
        </w:rPr>
        <w:t xml:space="preserve">. </w:t>
      </w:r>
      <w:r w:rsidRPr="00BF7B56">
        <w:rPr>
          <w:rFonts w:ascii="Arial" w:hAnsi="Arial" w:cs="Arial"/>
          <w:i w:val="0"/>
          <w:iCs w:val="0"/>
          <w:color w:val="auto"/>
          <w:lang w:val="en-US"/>
        </w:rPr>
        <w:t>Incidence rate of injuries by pyrotechnic powder, Colombia, 2007-2022</w:t>
      </w:r>
    </w:p>
    <w:p w14:paraId="74518149" w14:textId="77777777" w:rsidR="005F5520" w:rsidRDefault="00B972F1" w:rsidP="005F5520">
      <w:pPr>
        <w:keepNext/>
        <w:jc w:val="both"/>
      </w:pPr>
      <w:r>
        <w:rPr>
          <w:rFonts w:ascii="Arial" w:hAnsi="Arial" w:cs="Arial"/>
          <w:noProof/>
          <w:sz w:val="24"/>
          <w:szCs w:val="24"/>
        </w:rPr>
        <w:drawing>
          <wp:inline distT="0" distB="0" distL="0" distR="0" wp14:anchorId="3D49FF7A" wp14:editId="02B2A288">
            <wp:extent cx="5580380" cy="3167089"/>
            <wp:effectExtent l="0" t="0" r="0" b="0"/>
            <wp:docPr id="1088221221" name="Imagen 3" descr="Chart, Bar Char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21221" name="Imagen 3" descr="Gráfico, Gráfico de barra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7037" cy="3187893"/>
                    </a:xfrm>
                    <a:prstGeom prst="rect">
                      <a:avLst/>
                    </a:prstGeom>
                    <a:noFill/>
                  </pic:spPr>
                </pic:pic>
              </a:graphicData>
            </a:graphic>
          </wp:inline>
        </w:drawing>
      </w:r>
    </w:p>
    <w:p w14:paraId="0EF5799C" w14:textId="77777777" w:rsidR="00B972F1" w:rsidRPr="00BF7B56" w:rsidRDefault="00B972F1" w:rsidP="00B972F1">
      <w:pPr>
        <w:jc w:val="both"/>
        <w:rPr>
          <w:rFonts w:ascii="Arial" w:hAnsi="Arial" w:cs="Arial"/>
          <w:sz w:val="20"/>
          <w:szCs w:val="20"/>
          <w:lang w:val="en-US"/>
        </w:rPr>
      </w:pPr>
      <w:r w:rsidRPr="00BF7B56">
        <w:rPr>
          <w:rFonts w:ascii="Arial" w:hAnsi="Arial" w:cs="Arial"/>
          <w:sz w:val="20"/>
          <w:szCs w:val="20"/>
          <w:lang w:val="en-US"/>
        </w:rPr>
        <w:t>Source: ONS team elaboration from Sivigila.</w:t>
      </w:r>
    </w:p>
    <w:p w14:paraId="7A471C07" w14:textId="77777777" w:rsidR="00B972F1" w:rsidRPr="00BF7B56" w:rsidRDefault="00B972F1" w:rsidP="00B972F1">
      <w:pPr>
        <w:pStyle w:val="Caption"/>
        <w:keepNext/>
        <w:spacing w:after="0"/>
        <w:rPr>
          <w:rFonts w:ascii="Arial" w:hAnsi="Arial" w:cs="Arial"/>
          <w:b/>
          <w:bCs/>
          <w:i w:val="0"/>
          <w:iCs w:val="0"/>
          <w:color w:val="auto"/>
          <w:sz w:val="20"/>
          <w:szCs w:val="20"/>
          <w:lang w:val="en-US"/>
        </w:rPr>
      </w:pPr>
    </w:p>
    <w:p w14:paraId="150B27E4" w14:textId="748DE8DC" w:rsidR="00B972F1" w:rsidRPr="00BF7B56" w:rsidRDefault="00B972F1" w:rsidP="00B972F1">
      <w:pPr>
        <w:jc w:val="both"/>
        <w:rPr>
          <w:rFonts w:ascii="Arial" w:hAnsi="Arial" w:cs="Arial"/>
          <w:lang w:val="en-US"/>
        </w:rPr>
      </w:pPr>
      <w:r w:rsidRPr="00BF7B56">
        <w:rPr>
          <w:rFonts w:ascii="Arial" w:hAnsi="Arial" w:cs="Arial"/>
          <w:lang w:val="en-US"/>
        </w:rPr>
        <w:t xml:space="preserve">The average age of the injured was 21 ± 14.5 years (range, 0 to 95 years), about 60% of the events occurred in people between 10 and 29 years old, mostly children (n=3,351; 16.23%) and adolescents (n=3,323; 16.09%). The injured were predominantly men (n= </w:t>
      </w:r>
      <w:r w:rsidRPr="00BF7B56">
        <w:rPr>
          <w:rFonts w:ascii="Arial" w:hAnsi="Arial" w:cs="Arial"/>
          <w:lang w:val="en-US"/>
        </w:rPr>
        <w:lastRenderedPageBreak/>
        <w:t>17,349; 84%), in the municipal capitals (n=13,704; 66.36%) and in the subsidized affiliation regime (n=10,663; 51.64%). In relation to the socioeconomic status and ethnicity of the injured, there is evidence of low reporting and quality of data; however, for those reported, it was found that a quarter were from low or middle strata, while less than 1% of the injured were from the upper stratum and about 10% of the total injured were identified as black, mulatto, Afro-Colombian or indigenous (</w:t>
      </w:r>
      <w:r w:rsidR="005537D7" w:rsidRPr="005537D7">
        <w:rPr>
          <w:rFonts w:ascii="Arial" w:hAnsi="Arial" w:cs="Arial"/>
        </w:rPr>
        <w:fldChar w:fldCharType="begin"/>
      </w:r>
      <w:r w:rsidR="005537D7" w:rsidRPr="00BF7B56">
        <w:rPr>
          <w:rFonts w:ascii="Arial" w:hAnsi="Arial" w:cs="Arial"/>
          <w:lang w:val="en-US"/>
        </w:rPr>
        <w:instrText xml:space="preserve"> REF _Ref168669806 \h  \* MERGEFORMAT </w:instrText>
      </w:r>
      <w:r w:rsidR="005537D7" w:rsidRPr="005537D7">
        <w:rPr>
          <w:rFonts w:ascii="Arial" w:hAnsi="Arial" w:cs="Arial"/>
        </w:rPr>
      </w:r>
      <w:r w:rsidR="005537D7" w:rsidRPr="005537D7">
        <w:rPr>
          <w:rFonts w:ascii="Arial" w:hAnsi="Arial" w:cs="Arial"/>
        </w:rPr>
        <w:fldChar w:fldCharType="separate"/>
      </w:r>
      <w:r w:rsidR="005537D7" w:rsidRPr="00BF7B56">
        <w:rPr>
          <w:rFonts w:ascii="Arial" w:hAnsi="Arial" w:cs="Arial"/>
          <w:sz w:val="20"/>
          <w:szCs w:val="20"/>
          <w:lang w:val="en-US"/>
        </w:rPr>
        <w:t xml:space="preserve">Board </w:t>
      </w:r>
      <w:r w:rsidR="005537D7" w:rsidRPr="00BF7B56">
        <w:rPr>
          <w:rFonts w:ascii="Arial" w:hAnsi="Arial" w:cs="Arial"/>
          <w:noProof/>
          <w:sz w:val="20"/>
          <w:szCs w:val="20"/>
          <w:lang w:val="en-US"/>
        </w:rPr>
        <w:t>1</w:t>
      </w:r>
      <w:r w:rsidR="005537D7" w:rsidRPr="005537D7">
        <w:rPr>
          <w:rFonts w:ascii="Arial" w:hAnsi="Arial" w:cs="Arial"/>
        </w:rPr>
        <w:fldChar w:fldCharType="end"/>
      </w:r>
      <w:r w:rsidRPr="00BF7B56">
        <w:rPr>
          <w:rFonts w:ascii="Arial" w:hAnsi="Arial" w:cs="Arial"/>
          <w:lang w:val="en-US"/>
        </w:rPr>
        <w:t xml:space="preserve">). </w:t>
      </w:r>
    </w:p>
    <w:p w14:paraId="6FFD5CDF" w14:textId="2A8F81BC" w:rsidR="00B972F1" w:rsidRPr="00BF7B56" w:rsidRDefault="00B972F1" w:rsidP="00B972F1">
      <w:pPr>
        <w:jc w:val="both"/>
        <w:rPr>
          <w:rFonts w:ascii="Arial" w:hAnsi="Arial" w:cs="Arial"/>
          <w:lang w:val="en-US"/>
        </w:rPr>
      </w:pPr>
      <w:r w:rsidRPr="00BF7B56">
        <w:rPr>
          <w:rFonts w:ascii="Arial" w:hAnsi="Arial" w:cs="Arial"/>
          <w:lang w:val="en-US"/>
        </w:rPr>
        <w:t xml:space="preserve">About three-quarters (n=15,204; 73.40%) of the injured reported elementary occupations that involve the performance of simple and routine physical or manual functions </w:t>
      </w:r>
      <w:r w:rsidRPr="00FE7CDA">
        <w:rPr>
          <w:rFonts w:ascii="Arial" w:hAnsi="Arial" w:cs="Arial"/>
        </w:rPr>
        <w:fldChar w:fldCharType="begin"/>
      </w:r>
      <w:r w:rsidR="00C317D6" w:rsidRPr="00BF7B56">
        <w:rPr>
          <w:rFonts w:ascii="Arial" w:hAnsi="Arial" w:cs="Arial"/>
          <w:lang w:val="en-US"/>
        </w:rPr>
        <w:instrText xml:space="preserve"> ADDIN ZOTERO_ITEM CSL_CITATION {"citationID":"y0GTd4pV","properties":{"formattedCitation":"(13)","plainCitation":"(13)","noteIndex":0},"citationItems":[{"id":1508,"uris":["http://zotero.org/groups/5366598/items/RN76XKPX"],"itemData":{"id":1508,"type":"report","language":"es","source":"Zotero","title":"Clasificación Única de Ocupaciones para Colombia - CUOC 2023","author":[{"family":"Contreras","given":"B Piedad Urdinola"},{"family":"Oyola","given":"Leonardo Trujillo"},{"family":"Barragán","given":"Edna Patricia Rangel"}],"issued":{"date-parts":[["2023"]]}}}],"schema":"https://github.com/citation-style-language/schema/raw/master/csl-citation.json"} </w:instrText>
      </w:r>
      <w:r w:rsidRPr="00FE7CDA">
        <w:rPr>
          <w:rFonts w:ascii="Arial" w:hAnsi="Arial" w:cs="Arial"/>
        </w:rPr>
        <w:fldChar w:fldCharType="separate"/>
      </w:r>
      <w:r w:rsidR="00AE4EA1" w:rsidRPr="00BF7B56">
        <w:rPr>
          <w:rFonts w:ascii="Arial" w:hAnsi="Arial" w:cs="Arial"/>
          <w:lang w:val="en-US"/>
        </w:rPr>
        <w:t>(13)</w:t>
      </w:r>
      <w:r w:rsidRPr="00FE7CDA">
        <w:rPr>
          <w:rFonts w:ascii="Arial" w:hAnsi="Arial" w:cs="Arial"/>
        </w:rPr>
        <w:fldChar w:fldCharType="end"/>
      </w:r>
      <w:r w:rsidRPr="00BF7B56">
        <w:rPr>
          <w:rFonts w:ascii="Arial" w:hAnsi="Arial" w:cs="Arial"/>
          <w:lang w:val="en-US"/>
        </w:rPr>
        <w:t>.</w:t>
      </w:r>
    </w:p>
    <w:p w14:paraId="33A1E57E" w14:textId="4771B36E" w:rsidR="00B972F1" w:rsidRPr="00BF7B56" w:rsidRDefault="00B972F1" w:rsidP="00B972F1">
      <w:pPr>
        <w:jc w:val="both"/>
        <w:rPr>
          <w:rFonts w:ascii="Arial" w:hAnsi="Arial" w:cs="Arial"/>
          <w:sz w:val="20"/>
          <w:szCs w:val="20"/>
          <w:lang w:val="en-US"/>
        </w:rPr>
      </w:pPr>
      <w:bookmarkStart w:id="1" w:name="_Ref168669806"/>
      <w:r w:rsidRPr="00BF7B56">
        <w:rPr>
          <w:rFonts w:ascii="Arial" w:hAnsi="Arial" w:cs="Arial"/>
          <w:b/>
          <w:bCs/>
          <w:sz w:val="20"/>
          <w:szCs w:val="20"/>
          <w:lang w:val="en-US"/>
        </w:rPr>
        <w:t xml:space="preserve">Board </w:t>
      </w:r>
      <w:r w:rsidRPr="005537D7">
        <w:rPr>
          <w:rFonts w:ascii="Arial" w:hAnsi="Arial" w:cs="Arial"/>
          <w:b/>
          <w:bCs/>
          <w:sz w:val="20"/>
          <w:szCs w:val="20"/>
        </w:rPr>
        <w:fldChar w:fldCharType="begin"/>
      </w:r>
      <w:r w:rsidRPr="00BF7B56">
        <w:rPr>
          <w:rFonts w:ascii="Arial" w:hAnsi="Arial" w:cs="Arial"/>
          <w:b/>
          <w:bCs/>
          <w:sz w:val="20"/>
          <w:szCs w:val="20"/>
          <w:lang w:val="en-US"/>
        </w:rPr>
        <w:instrText xml:space="preserve"> SEQ Tabla \* ARABIC </w:instrText>
      </w:r>
      <w:r w:rsidRPr="005537D7">
        <w:rPr>
          <w:rFonts w:ascii="Arial" w:hAnsi="Arial" w:cs="Arial"/>
          <w:b/>
          <w:bCs/>
          <w:sz w:val="20"/>
          <w:szCs w:val="20"/>
        </w:rPr>
        <w:fldChar w:fldCharType="separate"/>
      </w:r>
      <w:r w:rsidRPr="00BF7B56">
        <w:rPr>
          <w:rFonts w:ascii="Arial" w:hAnsi="Arial" w:cs="Arial"/>
          <w:b/>
          <w:bCs/>
          <w:noProof/>
          <w:sz w:val="20"/>
          <w:szCs w:val="20"/>
          <w:lang w:val="en-US"/>
        </w:rPr>
        <w:t>1</w:t>
      </w:r>
      <w:r w:rsidRPr="005537D7">
        <w:rPr>
          <w:rFonts w:ascii="Arial" w:hAnsi="Arial" w:cs="Arial"/>
          <w:b/>
          <w:bCs/>
          <w:sz w:val="20"/>
          <w:szCs w:val="20"/>
        </w:rPr>
        <w:fldChar w:fldCharType="end"/>
      </w:r>
      <w:bookmarkEnd w:id="1"/>
      <w:r w:rsidRPr="00BF7B56">
        <w:rPr>
          <w:rFonts w:ascii="Arial" w:hAnsi="Arial" w:cs="Arial"/>
          <w:b/>
          <w:bCs/>
          <w:sz w:val="20"/>
          <w:szCs w:val="20"/>
          <w:lang w:val="en-US"/>
        </w:rPr>
        <w:t>.</w:t>
      </w:r>
      <w:r w:rsidRPr="00BF7B56">
        <w:rPr>
          <w:rFonts w:ascii="Arial" w:hAnsi="Arial" w:cs="Arial"/>
          <w:sz w:val="20"/>
          <w:szCs w:val="20"/>
          <w:lang w:val="en-US"/>
        </w:rPr>
        <w:t xml:space="preserve"> Sociodemographic characteristics of those injured by pyrotechnic powder, Colombia, 2007-2022.</w:t>
      </w:r>
    </w:p>
    <w:tbl>
      <w:tblPr>
        <w:tblStyle w:val="ListTable4-Accent1"/>
        <w:tblW w:w="5000" w:type="pct"/>
        <w:tblLook w:val="04A0" w:firstRow="1" w:lastRow="0" w:firstColumn="1" w:lastColumn="0" w:noHBand="0" w:noVBand="1"/>
      </w:tblPr>
      <w:tblGrid>
        <w:gridCol w:w="4290"/>
        <w:gridCol w:w="2472"/>
        <w:gridCol w:w="2066"/>
      </w:tblGrid>
      <w:tr w:rsidR="00B972F1" w:rsidRPr="005537D7" w14:paraId="7E414AAE" w14:textId="77777777" w:rsidTr="005537D7">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64EDD203" w14:textId="77777777" w:rsidR="00B972F1" w:rsidRPr="005537D7" w:rsidRDefault="00B972F1">
            <w:pPr>
              <w:jc w:val="center"/>
              <w:rPr>
                <w:rFonts w:ascii="Arial" w:eastAsia="Times New Roman" w:hAnsi="Arial" w:cs="Arial"/>
                <w:b w:val="0"/>
                <w:bCs w:val="0"/>
                <w:kern w:val="0"/>
                <w:sz w:val="18"/>
                <w:szCs w:val="18"/>
                <w:lang w:eastAsia="es-CO"/>
                <w14:ligatures w14:val="none"/>
              </w:rPr>
            </w:pPr>
            <w:r w:rsidRPr="005537D7">
              <w:rPr>
                <w:rFonts w:ascii="Arial" w:eastAsia="Times New Roman" w:hAnsi="Arial" w:cs="Arial"/>
                <w:kern w:val="0"/>
                <w:sz w:val="18"/>
                <w:szCs w:val="18"/>
                <w:lang w:eastAsia="es-CO"/>
                <w14:ligatures w14:val="none"/>
              </w:rPr>
              <w:t>Variable</w:t>
            </w:r>
          </w:p>
        </w:tc>
        <w:tc>
          <w:tcPr>
            <w:tcW w:w="1400" w:type="pct"/>
            <w:hideMark/>
          </w:tcPr>
          <w:p w14:paraId="129EA29F" w14:textId="77777777" w:rsidR="00B972F1" w:rsidRPr="005537D7" w:rsidRDefault="00B972F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18"/>
                <w:szCs w:val="18"/>
                <w:lang w:eastAsia="es-CO"/>
                <w14:ligatures w14:val="none"/>
              </w:rPr>
            </w:pPr>
            <w:r w:rsidRPr="005537D7">
              <w:rPr>
                <w:rFonts w:ascii="Arial" w:eastAsia="Times New Roman" w:hAnsi="Arial" w:cs="Arial"/>
                <w:kern w:val="0"/>
                <w:sz w:val="18"/>
                <w:szCs w:val="18"/>
                <w:lang w:eastAsia="es-CO"/>
                <w14:ligatures w14:val="none"/>
              </w:rPr>
              <w:t>n</w:t>
            </w:r>
          </w:p>
        </w:tc>
        <w:tc>
          <w:tcPr>
            <w:tcW w:w="1169" w:type="pct"/>
            <w:hideMark/>
          </w:tcPr>
          <w:p w14:paraId="6AD165F5" w14:textId="77777777" w:rsidR="00B972F1" w:rsidRPr="005537D7" w:rsidRDefault="00B972F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18"/>
                <w:szCs w:val="18"/>
                <w:lang w:eastAsia="es-CO"/>
                <w14:ligatures w14:val="none"/>
              </w:rPr>
            </w:pPr>
            <w:r w:rsidRPr="005537D7">
              <w:rPr>
                <w:rFonts w:ascii="Arial" w:eastAsia="Times New Roman" w:hAnsi="Arial" w:cs="Arial"/>
                <w:kern w:val="0"/>
                <w:sz w:val="18"/>
                <w:szCs w:val="18"/>
                <w:lang w:eastAsia="es-CO"/>
                <w14:ligatures w14:val="none"/>
              </w:rPr>
              <w:t>%</w:t>
            </w:r>
          </w:p>
        </w:tc>
      </w:tr>
      <w:tr w:rsidR="00B972F1" w:rsidRPr="005537D7" w14:paraId="514D6683"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9DAFDF5"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Sex</w:t>
            </w:r>
          </w:p>
        </w:tc>
      </w:tr>
      <w:tr w:rsidR="00B972F1" w:rsidRPr="005537D7" w14:paraId="6581A2D7"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21628682"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Female</w:t>
            </w:r>
          </w:p>
        </w:tc>
        <w:tc>
          <w:tcPr>
            <w:tcW w:w="1400" w:type="pct"/>
            <w:hideMark/>
          </w:tcPr>
          <w:p w14:paraId="5BCEF7AD"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3.300</w:t>
            </w:r>
          </w:p>
        </w:tc>
        <w:tc>
          <w:tcPr>
            <w:tcW w:w="1169" w:type="pct"/>
            <w:hideMark/>
          </w:tcPr>
          <w:p w14:paraId="2E008882"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15,98</w:t>
            </w:r>
          </w:p>
        </w:tc>
      </w:tr>
      <w:tr w:rsidR="00B972F1" w:rsidRPr="005537D7" w14:paraId="650B0D93"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3950F41D"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Male</w:t>
            </w:r>
          </w:p>
        </w:tc>
        <w:tc>
          <w:tcPr>
            <w:tcW w:w="1400" w:type="pct"/>
            <w:hideMark/>
          </w:tcPr>
          <w:p w14:paraId="71B1C67D"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17.349</w:t>
            </w:r>
          </w:p>
        </w:tc>
        <w:tc>
          <w:tcPr>
            <w:tcW w:w="1169" w:type="pct"/>
            <w:hideMark/>
          </w:tcPr>
          <w:p w14:paraId="4C188DF7"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84,01</w:t>
            </w:r>
          </w:p>
        </w:tc>
      </w:tr>
      <w:tr w:rsidR="00B972F1" w:rsidRPr="005537D7" w14:paraId="5B1F6CA0"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414C03A"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Socioeconomic status</w:t>
            </w:r>
          </w:p>
        </w:tc>
      </w:tr>
      <w:tr w:rsidR="00B972F1" w:rsidRPr="005537D7" w14:paraId="6FAB1A2B"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5F972431"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w:t>
            </w:r>
          </w:p>
        </w:tc>
        <w:tc>
          <w:tcPr>
            <w:tcW w:w="1400" w:type="pct"/>
            <w:hideMark/>
          </w:tcPr>
          <w:p w14:paraId="4454657C"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2.848</w:t>
            </w:r>
          </w:p>
        </w:tc>
        <w:tc>
          <w:tcPr>
            <w:tcW w:w="1169" w:type="pct"/>
            <w:hideMark/>
          </w:tcPr>
          <w:p w14:paraId="74C61F49"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13,79</w:t>
            </w:r>
          </w:p>
        </w:tc>
      </w:tr>
      <w:tr w:rsidR="00B972F1" w:rsidRPr="005537D7" w14:paraId="79292133"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1217DE22"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2</w:t>
            </w:r>
          </w:p>
        </w:tc>
        <w:tc>
          <w:tcPr>
            <w:tcW w:w="1400" w:type="pct"/>
            <w:hideMark/>
          </w:tcPr>
          <w:p w14:paraId="38B1713B"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1.941</w:t>
            </w:r>
          </w:p>
        </w:tc>
        <w:tc>
          <w:tcPr>
            <w:tcW w:w="1169" w:type="pct"/>
            <w:hideMark/>
          </w:tcPr>
          <w:p w14:paraId="0A51A4BA"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9,39</w:t>
            </w:r>
          </w:p>
        </w:tc>
      </w:tr>
      <w:tr w:rsidR="00B972F1" w:rsidRPr="005537D7" w14:paraId="1C2164B7"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39EB931F"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3</w:t>
            </w:r>
          </w:p>
        </w:tc>
        <w:tc>
          <w:tcPr>
            <w:tcW w:w="1400" w:type="pct"/>
            <w:hideMark/>
          </w:tcPr>
          <w:p w14:paraId="1D77CDD4"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437</w:t>
            </w:r>
          </w:p>
        </w:tc>
        <w:tc>
          <w:tcPr>
            <w:tcW w:w="1169" w:type="pct"/>
            <w:hideMark/>
          </w:tcPr>
          <w:p w14:paraId="181FEF06"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2,11</w:t>
            </w:r>
          </w:p>
        </w:tc>
      </w:tr>
      <w:tr w:rsidR="00B972F1" w:rsidRPr="005537D7" w14:paraId="74BC6EBD"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48218869"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4</w:t>
            </w:r>
          </w:p>
        </w:tc>
        <w:tc>
          <w:tcPr>
            <w:tcW w:w="1400" w:type="pct"/>
            <w:hideMark/>
          </w:tcPr>
          <w:p w14:paraId="497B0C5F"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60</w:t>
            </w:r>
          </w:p>
        </w:tc>
        <w:tc>
          <w:tcPr>
            <w:tcW w:w="1169" w:type="pct"/>
            <w:hideMark/>
          </w:tcPr>
          <w:p w14:paraId="10966564"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0,29</w:t>
            </w:r>
          </w:p>
        </w:tc>
      </w:tr>
      <w:tr w:rsidR="00B972F1" w:rsidRPr="005537D7" w14:paraId="5AB19374"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7BF13873"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5</w:t>
            </w:r>
          </w:p>
        </w:tc>
        <w:tc>
          <w:tcPr>
            <w:tcW w:w="1400" w:type="pct"/>
            <w:hideMark/>
          </w:tcPr>
          <w:p w14:paraId="700F9447"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18</w:t>
            </w:r>
          </w:p>
        </w:tc>
        <w:tc>
          <w:tcPr>
            <w:tcW w:w="1169" w:type="pct"/>
            <w:hideMark/>
          </w:tcPr>
          <w:p w14:paraId="20B8556A"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0,09</w:t>
            </w:r>
          </w:p>
        </w:tc>
      </w:tr>
      <w:tr w:rsidR="00B972F1" w:rsidRPr="005537D7" w14:paraId="665586A6"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6972C213"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6</w:t>
            </w:r>
          </w:p>
        </w:tc>
        <w:tc>
          <w:tcPr>
            <w:tcW w:w="1400" w:type="pct"/>
            <w:hideMark/>
          </w:tcPr>
          <w:p w14:paraId="728C332F"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19</w:t>
            </w:r>
          </w:p>
        </w:tc>
        <w:tc>
          <w:tcPr>
            <w:tcW w:w="1169" w:type="pct"/>
            <w:hideMark/>
          </w:tcPr>
          <w:p w14:paraId="07947B94"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0,09</w:t>
            </w:r>
          </w:p>
        </w:tc>
      </w:tr>
      <w:tr w:rsidR="00B972F1" w:rsidRPr="005537D7" w14:paraId="3F8F33F4"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7A1B7CBF"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Doesn't report</w:t>
            </w:r>
          </w:p>
        </w:tc>
        <w:tc>
          <w:tcPr>
            <w:tcW w:w="1400" w:type="pct"/>
            <w:hideMark/>
          </w:tcPr>
          <w:p w14:paraId="0B8DA18D"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15.326</w:t>
            </w:r>
          </w:p>
        </w:tc>
        <w:tc>
          <w:tcPr>
            <w:tcW w:w="1169" w:type="pct"/>
            <w:hideMark/>
          </w:tcPr>
          <w:p w14:paraId="537B62EE"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74,22</w:t>
            </w:r>
          </w:p>
        </w:tc>
      </w:tr>
      <w:tr w:rsidR="00B972F1" w:rsidRPr="005537D7" w14:paraId="3E2B56FF"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C6FF58A"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Area of occurrence</w:t>
            </w:r>
          </w:p>
        </w:tc>
      </w:tr>
      <w:tr w:rsidR="00B972F1" w:rsidRPr="005537D7" w14:paraId="148A2DDE"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1FB54064"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Municipal seat</w:t>
            </w:r>
          </w:p>
        </w:tc>
        <w:tc>
          <w:tcPr>
            <w:tcW w:w="1400" w:type="pct"/>
            <w:hideMark/>
          </w:tcPr>
          <w:p w14:paraId="0774084F"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13.704</w:t>
            </w:r>
          </w:p>
        </w:tc>
        <w:tc>
          <w:tcPr>
            <w:tcW w:w="1169" w:type="pct"/>
            <w:hideMark/>
          </w:tcPr>
          <w:p w14:paraId="096F7939"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66,36</w:t>
            </w:r>
          </w:p>
        </w:tc>
      </w:tr>
      <w:tr w:rsidR="00B972F1" w:rsidRPr="005537D7" w14:paraId="0E8445E0"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140E4CEE"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Populated center</w:t>
            </w:r>
          </w:p>
        </w:tc>
        <w:tc>
          <w:tcPr>
            <w:tcW w:w="1400" w:type="pct"/>
            <w:hideMark/>
          </w:tcPr>
          <w:p w14:paraId="03AA118B"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2.203</w:t>
            </w:r>
          </w:p>
        </w:tc>
        <w:tc>
          <w:tcPr>
            <w:tcW w:w="1169" w:type="pct"/>
            <w:hideMark/>
          </w:tcPr>
          <w:p w14:paraId="2E6FB520"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10,67</w:t>
            </w:r>
          </w:p>
        </w:tc>
      </w:tr>
      <w:tr w:rsidR="00B972F1" w:rsidRPr="005537D7" w14:paraId="2EB7E157"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03794D2A"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Dispersed rural</w:t>
            </w:r>
          </w:p>
        </w:tc>
        <w:tc>
          <w:tcPr>
            <w:tcW w:w="1400" w:type="pct"/>
            <w:hideMark/>
          </w:tcPr>
          <w:p w14:paraId="5F91ECDE"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4.742</w:t>
            </w:r>
          </w:p>
        </w:tc>
        <w:tc>
          <w:tcPr>
            <w:tcW w:w="1169" w:type="pct"/>
            <w:hideMark/>
          </w:tcPr>
          <w:p w14:paraId="7C38EBB8"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22,96</w:t>
            </w:r>
          </w:p>
        </w:tc>
      </w:tr>
      <w:tr w:rsidR="00B972F1" w:rsidRPr="005537D7" w14:paraId="159236AE"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4C84DF"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Ethnicity</w:t>
            </w:r>
          </w:p>
        </w:tc>
      </w:tr>
      <w:tr w:rsidR="00B972F1" w:rsidRPr="005537D7" w14:paraId="499C08F9"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2548789F"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Indigenous</w:t>
            </w:r>
          </w:p>
        </w:tc>
        <w:tc>
          <w:tcPr>
            <w:tcW w:w="1400" w:type="pct"/>
            <w:hideMark/>
          </w:tcPr>
          <w:p w14:paraId="68482335"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749</w:t>
            </w:r>
          </w:p>
        </w:tc>
        <w:tc>
          <w:tcPr>
            <w:tcW w:w="1169" w:type="pct"/>
            <w:hideMark/>
          </w:tcPr>
          <w:p w14:paraId="327B91FB"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3,63</w:t>
            </w:r>
          </w:p>
        </w:tc>
      </w:tr>
      <w:tr w:rsidR="00B972F1" w:rsidRPr="005537D7" w14:paraId="463C8464"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02111A8B"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Rom, Gypsy</w:t>
            </w:r>
          </w:p>
        </w:tc>
        <w:tc>
          <w:tcPr>
            <w:tcW w:w="1400" w:type="pct"/>
            <w:hideMark/>
          </w:tcPr>
          <w:p w14:paraId="6533F10E"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36</w:t>
            </w:r>
          </w:p>
        </w:tc>
        <w:tc>
          <w:tcPr>
            <w:tcW w:w="1169" w:type="pct"/>
            <w:hideMark/>
          </w:tcPr>
          <w:p w14:paraId="14B38686"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0,17</w:t>
            </w:r>
          </w:p>
        </w:tc>
      </w:tr>
      <w:tr w:rsidR="00B972F1" w:rsidRPr="005537D7" w14:paraId="4F9AB576"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1AAFD5A2"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Raizal</w:t>
            </w:r>
          </w:p>
        </w:tc>
        <w:tc>
          <w:tcPr>
            <w:tcW w:w="1400" w:type="pct"/>
            <w:hideMark/>
          </w:tcPr>
          <w:p w14:paraId="66A37181"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59</w:t>
            </w:r>
          </w:p>
        </w:tc>
        <w:tc>
          <w:tcPr>
            <w:tcW w:w="1169" w:type="pct"/>
            <w:hideMark/>
          </w:tcPr>
          <w:p w14:paraId="274650E9"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0,29</w:t>
            </w:r>
          </w:p>
        </w:tc>
      </w:tr>
      <w:tr w:rsidR="00B972F1" w:rsidRPr="005537D7" w14:paraId="1EA0410B"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7D306042"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b w:val="0"/>
                <w:bCs w:val="0"/>
                <w:color w:val="595959"/>
                <w:kern w:val="0"/>
                <w:sz w:val="18"/>
                <w:szCs w:val="18"/>
                <w:lang w:eastAsia="es-CO"/>
                <w14:ligatures w14:val="none"/>
              </w:rPr>
              <w:t>Palenquero</w:t>
            </w:r>
          </w:p>
        </w:tc>
        <w:tc>
          <w:tcPr>
            <w:tcW w:w="1400" w:type="pct"/>
            <w:hideMark/>
          </w:tcPr>
          <w:p w14:paraId="43E9AF80"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10</w:t>
            </w:r>
          </w:p>
        </w:tc>
        <w:tc>
          <w:tcPr>
            <w:tcW w:w="1169" w:type="pct"/>
            <w:hideMark/>
          </w:tcPr>
          <w:p w14:paraId="76FE8E26"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0,05</w:t>
            </w:r>
          </w:p>
        </w:tc>
      </w:tr>
      <w:tr w:rsidR="00B972F1" w:rsidRPr="005537D7" w14:paraId="6D92497E" w14:textId="77777777" w:rsidTr="005537D7">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2430" w:type="pct"/>
            <w:hideMark/>
          </w:tcPr>
          <w:p w14:paraId="04EBF294"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Black, Afro-Colombian mulatto</w:t>
            </w:r>
          </w:p>
        </w:tc>
        <w:tc>
          <w:tcPr>
            <w:tcW w:w="1400" w:type="pct"/>
            <w:hideMark/>
          </w:tcPr>
          <w:p w14:paraId="6AC5D85A"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1.214</w:t>
            </w:r>
          </w:p>
        </w:tc>
        <w:tc>
          <w:tcPr>
            <w:tcW w:w="1169" w:type="pct"/>
            <w:hideMark/>
          </w:tcPr>
          <w:p w14:paraId="4309E490"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5,88</w:t>
            </w:r>
          </w:p>
        </w:tc>
      </w:tr>
      <w:tr w:rsidR="00B972F1" w:rsidRPr="005537D7" w14:paraId="774C73B2"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201A572B"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Other</w:t>
            </w:r>
          </w:p>
        </w:tc>
        <w:tc>
          <w:tcPr>
            <w:tcW w:w="1400" w:type="pct"/>
            <w:hideMark/>
          </w:tcPr>
          <w:p w14:paraId="2D8ED1C8"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18.581</w:t>
            </w:r>
          </w:p>
        </w:tc>
        <w:tc>
          <w:tcPr>
            <w:tcW w:w="1169" w:type="pct"/>
            <w:hideMark/>
          </w:tcPr>
          <w:p w14:paraId="5B12B23B"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89,98</w:t>
            </w:r>
          </w:p>
        </w:tc>
      </w:tr>
      <w:tr w:rsidR="00B972F1" w:rsidRPr="005537D7" w14:paraId="450FBD31"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FF73F1"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Affiliation regime</w:t>
            </w:r>
          </w:p>
        </w:tc>
      </w:tr>
      <w:tr w:rsidR="00B972F1" w:rsidRPr="005537D7" w14:paraId="4C3B846F"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07D9D613" w14:textId="77777777" w:rsidR="00B972F1" w:rsidRPr="005537D7" w:rsidRDefault="00B972F1">
            <w:pPr>
              <w:jc w:val="center"/>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Contributory</w:t>
            </w:r>
          </w:p>
        </w:tc>
        <w:tc>
          <w:tcPr>
            <w:tcW w:w="1400" w:type="pct"/>
            <w:hideMark/>
          </w:tcPr>
          <w:p w14:paraId="4AF63F23"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6.570</w:t>
            </w:r>
          </w:p>
        </w:tc>
        <w:tc>
          <w:tcPr>
            <w:tcW w:w="1169" w:type="pct"/>
            <w:hideMark/>
          </w:tcPr>
          <w:p w14:paraId="63E1104F"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31,82</w:t>
            </w:r>
          </w:p>
        </w:tc>
      </w:tr>
      <w:tr w:rsidR="00B972F1" w:rsidRPr="005537D7" w14:paraId="6C8B848C"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22547915"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Subsidized</w:t>
            </w:r>
          </w:p>
        </w:tc>
        <w:tc>
          <w:tcPr>
            <w:tcW w:w="1400" w:type="pct"/>
            <w:hideMark/>
          </w:tcPr>
          <w:p w14:paraId="1DB5DD8B"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10.663</w:t>
            </w:r>
          </w:p>
        </w:tc>
        <w:tc>
          <w:tcPr>
            <w:tcW w:w="1169" w:type="pct"/>
            <w:hideMark/>
          </w:tcPr>
          <w:p w14:paraId="6500D8D6"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imes New Roman" w:hAnsi="Arial" w:cs="Arial"/>
                <w:b/>
                <w:bCs/>
                <w:color w:val="595959"/>
                <w:kern w:val="0"/>
                <w:sz w:val="18"/>
                <w:szCs w:val="18"/>
                <w:lang w:eastAsia="es-CO"/>
                <w14:ligatures w14:val="none"/>
              </w:rPr>
              <w:t>51,64</w:t>
            </w:r>
          </w:p>
        </w:tc>
      </w:tr>
      <w:tr w:rsidR="00B972F1" w:rsidRPr="005537D7" w14:paraId="49508C7B"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3F68E3E6" w14:textId="77777777" w:rsidR="00B972F1" w:rsidRPr="005537D7" w:rsidRDefault="00B972F1">
            <w:pPr>
              <w:jc w:val="center"/>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Special</w:t>
            </w:r>
          </w:p>
        </w:tc>
        <w:tc>
          <w:tcPr>
            <w:tcW w:w="1400" w:type="pct"/>
            <w:hideMark/>
          </w:tcPr>
          <w:p w14:paraId="35FBBDE8"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468</w:t>
            </w:r>
          </w:p>
        </w:tc>
        <w:tc>
          <w:tcPr>
            <w:tcW w:w="1169" w:type="pct"/>
            <w:hideMark/>
          </w:tcPr>
          <w:p w14:paraId="15B12E79"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2,27</w:t>
            </w:r>
          </w:p>
        </w:tc>
      </w:tr>
      <w:tr w:rsidR="00B972F1" w:rsidRPr="005537D7" w14:paraId="4D5B947C"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322A3130" w14:textId="77777777" w:rsidR="00B972F1" w:rsidRPr="005537D7" w:rsidRDefault="00B972F1">
            <w:pPr>
              <w:jc w:val="center"/>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Exception</w:t>
            </w:r>
          </w:p>
        </w:tc>
        <w:tc>
          <w:tcPr>
            <w:tcW w:w="1400" w:type="pct"/>
            <w:hideMark/>
          </w:tcPr>
          <w:p w14:paraId="17ADC480"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730</w:t>
            </w:r>
          </w:p>
        </w:tc>
        <w:tc>
          <w:tcPr>
            <w:tcW w:w="1169" w:type="pct"/>
            <w:hideMark/>
          </w:tcPr>
          <w:p w14:paraId="00580F9C"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3,54</w:t>
            </w:r>
          </w:p>
        </w:tc>
      </w:tr>
      <w:tr w:rsidR="00B972F1" w:rsidRPr="005537D7" w14:paraId="73D31968"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4D5C3775" w14:textId="77777777" w:rsidR="00B972F1" w:rsidRPr="005537D7" w:rsidRDefault="00B972F1">
            <w:pPr>
              <w:jc w:val="center"/>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Uninsured</w:t>
            </w:r>
          </w:p>
        </w:tc>
        <w:tc>
          <w:tcPr>
            <w:tcW w:w="1400" w:type="pct"/>
            <w:hideMark/>
          </w:tcPr>
          <w:p w14:paraId="65C866A2"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2.080</w:t>
            </w:r>
          </w:p>
        </w:tc>
        <w:tc>
          <w:tcPr>
            <w:tcW w:w="1169" w:type="pct"/>
            <w:hideMark/>
          </w:tcPr>
          <w:p w14:paraId="54163A9A"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10,07</w:t>
            </w:r>
          </w:p>
        </w:tc>
      </w:tr>
      <w:tr w:rsidR="00B972F1" w:rsidRPr="005537D7" w14:paraId="2500B8FE"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hideMark/>
          </w:tcPr>
          <w:p w14:paraId="0482A777" w14:textId="77777777" w:rsidR="00B972F1" w:rsidRPr="005537D7" w:rsidRDefault="00B972F1">
            <w:pPr>
              <w:jc w:val="center"/>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Indeterminate</w:t>
            </w:r>
          </w:p>
        </w:tc>
        <w:tc>
          <w:tcPr>
            <w:tcW w:w="1400" w:type="pct"/>
            <w:hideMark/>
          </w:tcPr>
          <w:p w14:paraId="235F3D4D"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138</w:t>
            </w:r>
          </w:p>
        </w:tc>
        <w:tc>
          <w:tcPr>
            <w:tcW w:w="1169" w:type="pct"/>
            <w:hideMark/>
          </w:tcPr>
          <w:p w14:paraId="17BF67E0"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0,67</w:t>
            </w:r>
          </w:p>
        </w:tc>
      </w:tr>
      <w:tr w:rsidR="00B972F1" w:rsidRPr="005537D7" w14:paraId="686707B2"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5000" w:type="pct"/>
            <w:gridSpan w:val="3"/>
          </w:tcPr>
          <w:p w14:paraId="27C5C017" w14:textId="77777777" w:rsidR="00B972F1" w:rsidRPr="005537D7" w:rsidRDefault="00B972F1">
            <w:pPr>
              <w:jc w:val="center"/>
              <w:rPr>
                <w:rFonts w:ascii="Arial" w:eastAsia="Times New Roman" w:hAnsi="Arial" w:cs="Arial"/>
                <w:color w:val="595959"/>
                <w:kern w:val="0"/>
                <w:sz w:val="18"/>
                <w:szCs w:val="18"/>
                <w:lang w:eastAsia="es-CO"/>
                <w14:ligatures w14:val="none"/>
              </w:rPr>
            </w:pPr>
            <w:r w:rsidRPr="005537D7">
              <w:rPr>
                <w:rFonts w:ascii="Arial" w:eastAsia="Times New Roman" w:hAnsi="Arial" w:cs="Arial"/>
                <w:color w:val="595959"/>
                <w:kern w:val="0"/>
                <w:sz w:val="18"/>
                <w:szCs w:val="18"/>
                <w:lang w:eastAsia="es-CO"/>
                <w14:ligatures w14:val="none"/>
              </w:rPr>
              <w:t>Occupation</w:t>
            </w:r>
          </w:p>
        </w:tc>
      </w:tr>
      <w:tr w:rsidR="00B972F1" w:rsidRPr="005537D7" w14:paraId="13EAE762"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tcPr>
          <w:p w14:paraId="539F3398"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Elementary occupations</w:t>
            </w:r>
          </w:p>
        </w:tc>
        <w:tc>
          <w:tcPr>
            <w:tcW w:w="1400" w:type="pct"/>
          </w:tcPr>
          <w:p w14:paraId="1D8B38B2" w14:textId="27A01BD2"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heme="minorEastAsia" w:hAnsi="Arial" w:cs="Arial"/>
                <w:b/>
                <w:bCs/>
                <w:color w:val="595959" w:themeColor="text1" w:themeTint="A6"/>
                <w:sz w:val="18"/>
                <w:szCs w:val="18"/>
              </w:rPr>
              <w:t>15.204</w:t>
            </w:r>
          </w:p>
        </w:tc>
        <w:tc>
          <w:tcPr>
            <w:tcW w:w="1169" w:type="pct"/>
          </w:tcPr>
          <w:p w14:paraId="010ABC6A"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595959"/>
                <w:kern w:val="0"/>
                <w:sz w:val="18"/>
                <w:szCs w:val="18"/>
                <w:lang w:eastAsia="es-CO"/>
                <w14:ligatures w14:val="none"/>
              </w:rPr>
            </w:pPr>
            <w:r w:rsidRPr="005537D7">
              <w:rPr>
                <w:rFonts w:ascii="Arial" w:eastAsiaTheme="minorEastAsia" w:hAnsi="Arial" w:cs="Arial"/>
                <w:b/>
                <w:bCs/>
                <w:color w:val="595959" w:themeColor="text1" w:themeTint="A6"/>
                <w:sz w:val="18"/>
                <w:szCs w:val="18"/>
              </w:rPr>
              <w:t>73,40%</w:t>
            </w:r>
          </w:p>
        </w:tc>
      </w:tr>
      <w:tr w:rsidR="00B972F1" w:rsidRPr="005537D7" w14:paraId="3DF9B227"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tcPr>
          <w:p w14:paraId="35BB48E9" w14:textId="77777777" w:rsidR="00B972F1" w:rsidRPr="00BF7B56" w:rsidRDefault="00B972F1">
            <w:pPr>
              <w:jc w:val="center"/>
              <w:rPr>
                <w:rFonts w:ascii="Arial" w:eastAsia="Times New Roman" w:hAnsi="Arial" w:cs="Arial"/>
                <w:b w:val="0"/>
                <w:bCs w:val="0"/>
                <w:color w:val="595959"/>
                <w:kern w:val="0"/>
                <w:sz w:val="18"/>
                <w:szCs w:val="18"/>
                <w:lang w:val="en-US" w:eastAsia="es-CO"/>
                <w14:ligatures w14:val="none"/>
              </w:rPr>
            </w:pPr>
            <w:r w:rsidRPr="00BF7B56">
              <w:rPr>
                <w:rFonts w:ascii="Arial" w:eastAsiaTheme="minorEastAsia" w:hAnsi="Arial" w:cs="Arial"/>
                <w:b w:val="0"/>
                <w:bCs w:val="0"/>
                <w:color w:val="595959" w:themeColor="text1" w:themeTint="A6"/>
                <w:sz w:val="18"/>
                <w:szCs w:val="18"/>
                <w:lang w:val="en-US"/>
              </w:rPr>
              <w:t>Agricultural, forestry and fisheries farmers and skilled workers</w:t>
            </w:r>
          </w:p>
        </w:tc>
        <w:tc>
          <w:tcPr>
            <w:tcW w:w="1400" w:type="pct"/>
          </w:tcPr>
          <w:p w14:paraId="6CE8DB5C" w14:textId="4457FEE3"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1.834</w:t>
            </w:r>
          </w:p>
        </w:tc>
        <w:tc>
          <w:tcPr>
            <w:tcW w:w="1169" w:type="pct"/>
          </w:tcPr>
          <w:p w14:paraId="3C34504F"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8,85%</w:t>
            </w:r>
          </w:p>
        </w:tc>
      </w:tr>
      <w:tr w:rsidR="00B972F1" w:rsidRPr="005537D7" w14:paraId="03507E85"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tcPr>
          <w:p w14:paraId="2F3458A3" w14:textId="77777777" w:rsidR="00B972F1" w:rsidRPr="00BF7B56" w:rsidRDefault="00B972F1">
            <w:pPr>
              <w:jc w:val="center"/>
              <w:rPr>
                <w:rFonts w:ascii="Arial" w:eastAsia="Times New Roman" w:hAnsi="Arial" w:cs="Arial"/>
                <w:b w:val="0"/>
                <w:bCs w:val="0"/>
                <w:color w:val="595959"/>
                <w:kern w:val="0"/>
                <w:sz w:val="18"/>
                <w:szCs w:val="18"/>
                <w:lang w:val="en-US" w:eastAsia="es-CO"/>
                <w14:ligatures w14:val="none"/>
              </w:rPr>
            </w:pPr>
            <w:r w:rsidRPr="00BF7B56">
              <w:rPr>
                <w:rFonts w:ascii="Arial" w:eastAsiaTheme="minorEastAsia" w:hAnsi="Arial" w:cs="Arial"/>
                <w:b w:val="0"/>
                <w:bCs w:val="0"/>
                <w:color w:val="595959" w:themeColor="text1" w:themeTint="A6"/>
                <w:sz w:val="18"/>
                <w:szCs w:val="18"/>
                <w:lang w:val="en-US"/>
              </w:rPr>
              <w:t>Service workers and vendors in shops and markets</w:t>
            </w:r>
          </w:p>
        </w:tc>
        <w:tc>
          <w:tcPr>
            <w:tcW w:w="1400" w:type="pct"/>
          </w:tcPr>
          <w:p w14:paraId="06393039" w14:textId="7EDA1BC2"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1.075</w:t>
            </w:r>
          </w:p>
        </w:tc>
        <w:tc>
          <w:tcPr>
            <w:tcW w:w="1169" w:type="pct"/>
          </w:tcPr>
          <w:p w14:paraId="5AFBA75D"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5,19%</w:t>
            </w:r>
          </w:p>
        </w:tc>
      </w:tr>
      <w:tr w:rsidR="00B972F1" w:rsidRPr="005537D7" w14:paraId="06516A55"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tcPr>
          <w:p w14:paraId="42125EBA" w14:textId="77777777" w:rsidR="00B972F1" w:rsidRPr="00BF7B56" w:rsidRDefault="00B972F1">
            <w:pPr>
              <w:jc w:val="center"/>
              <w:rPr>
                <w:rFonts w:ascii="Arial" w:eastAsia="Times New Roman" w:hAnsi="Arial" w:cs="Arial"/>
                <w:b w:val="0"/>
                <w:bCs w:val="0"/>
                <w:color w:val="595959"/>
                <w:kern w:val="0"/>
                <w:sz w:val="18"/>
                <w:szCs w:val="18"/>
                <w:lang w:val="en-US" w:eastAsia="es-CO"/>
                <w14:ligatures w14:val="none"/>
              </w:rPr>
            </w:pPr>
            <w:r w:rsidRPr="00BF7B56">
              <w:rPr>
                <w:rFonts w:ascii="Arial" w:eastAsiaTheme="minorEastAsia" w:hAnsi="Arial" w:cs="Arial"/>
                <w:b w:val="0"/>
                <w:bCs w:val="0"/>
                <w:color w:val="595959" w:themeColor="text1" w:themeTint="A6"/>
                <w:sz w:val="18"/>
                <w:szCs w:val="18"/>
                <w:lang w:val="en-US"/>
              </w:rPr>
              <w:t>Journeymen, operators, craftsmen and related trades</w:t>
            </w:r>
          </w:p>
        </w:tc>
        <w:tc>
          <w:tcPr>
            <w:tcW w:w="1400" w:type="pct"/>
          </w:tcPr>
          <w:p w14:paraId="55C8D811"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877</w:t>
            </w:r>
          </w:p>
        </w:tc>
        <w:tc>
          <w:tcPr>
            <w:tcW w:w="1169" w:type="pct"/>
          </w:tcPr>
          <w:p w14:paraId="1515F47F"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4,23%</w:t>
            </w:r>
          </w:p>
        </w:tc>
      </w:tr>
      <w:tr w:rsidR="00B972F1" w:rsidRPr="005537D7" w14:paraId="3433D6A4"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tcPr>
          <w:p w14:paraId="7C68E936"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heme="minorEastAsia" w:hAnsi="Arial" w:cs="Arial"/>
                <w:b w:val="0"/>
                <w:bCs w:val="0"/>
                <w:color w:val="595959" w:themeColor="text1" w:themeTint="A6"/>
                <w:sz w:val="18"/>
                <w:szCs w:val="18"/>
              </w:rPr>
              <w:t>Directors and managers</w:t>
            </w:r>
          </w:p>
        </w:tc>
        <w:tc>
          <w:tcPr>
            <w:tcW w:w="1400" w:type="pct"/>
          </w:tcPr>
          <w:p w14:paraId="5FC7AE82"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398</w:t>
            </w:r>
          </w:p>
        </w:tc>
        <w:tc>
          <w:tcPr>
            <w:tcW w:w="1169" w:type="pct"/>
          </w:tcPr>
          <w:p w14:paraId="0A7E8EAA"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1,92%</w:t>
            </w:r>
          </w:p>
        </w:tc>
      </w:tr>
      <w:tr w:rsidR="00B972F1" w:rsidRPr="005537D7" w14:paraId="6C5DBB53"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tcPr>
          <w:p w14:paraId="43BE24F9" w14:textId="77777777" w:rsidR="00B972F1" w:rsidRPr="00BF7B56" w:rsidRDefault="00B972F1">
            <w:pPr>
              <w:jc w:val="center"/>
              <w:rPr>
                <w:rFonts w:ascii="Arial" w:eastAsia="Times New Roman" w:hAnsi="Arial" w:cs="Arial"/>
                <w:b w:val="0"/>
                <w:bCs w:val="0"/>
                <w:color w:val="595959"/>
                <w:kern w:val="0"/>
                <w:sz w:val="18"/>
                <w:szCs w:val="18"/>
                <w:lang w:val="en-US" w:eastAsia="es-CO"/>
                <w14:ligatures w14:val="none"/>
              </w:rPr>
            </w:pPr>
            <w:r w:rsidRPr="00BF7B56">
              <w:rPr>
                <w:rFonts w:ascii="Arial" w:eastAsiaTheme="minorEastAsia" w:hAnsi="Arial" w:cs="Arial"/>
                <w:b w:val="0"/>
                <w:bCs w:val="0"/>
                <w:color w:val="595959" w:themeColor="text1" w:themeTint="A6"/>
                <w:sz w:val="18"/>
                <w:szCs w:val="18"/>
                <w:lang w:val="en-US"/>
              </w:rPr>
              <w:t>Plant and machine operators and assemblers</w:t>
            </w:r>
          </w:p>
        </w:tc>
        <w:tc>
          <w:tcPr>
            <w:tcW w:w="1400" w:type="pct"/>
          </w:tcPr>
          <w:p w14:paraId="709D44AA"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392</w:t>
            </w:r>
          </w:p>
        </w:tc>
        <w:tc>
          <w:tcPr>
            <w:tcW w:w="1169" w:type="pct"/>
          </w:tcPr>
          <w:p w14:paraId="5C60104A"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1,89%</w:t>
            </w:r>
          </w:p>
        </w:tc>
      </w:tr>
      <w:tr w:rsidR="00B972F1" w:rsidRPr="005537D7" w14:paraId="1C5955F3"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tcPr>
          <w:p w14:paraId="62E85430"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heme="minorEastAsia" w:hAnsi="Arial" w:cs="Arial"/>
                <w:b w:val="0"/>
                <w:bCs w:val="0"/>
                <w:color w:val="595959" w:themeColor="text1" w:themeTint="A6"/>
                <w:sz w:val="18"/>
                <w:szCs w:val="18"/>
              </w:rPr>
              <w:lastRenderedPageBreak/>
              <w:t>Professionals, scientists and intellectuals</w:t>
            </w:r>
          </w:p>
        </w:tc>
        <w:tc>
          <w:tcPr>
            <w:tcW w:w="1400" w:type="pct"/>
          </w:tcPr>
          <w:p w14:paraId="05F2AB27"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384</w:t>
            </w:r>
          </w:p>
        </w:tc>
        <w:tc>
          <w:tcPr>
            <w:tcW w:w="1169" w:type="pct"/>
          </w:tcPr>
          <w:p w14:paraId="499CB85B"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1,85%</w:t>
            </w:r>
          </w:p>
        </w:tc>
      </w:tr>
      <w:tr w:rsidR="00B972F1" w:rsidRPr="005537D7" w14:paraId="32F6EFA3" w14:textId="77777777" w:rsidTr="005537D7">
        <w:trPr>
          <w:trHeight w:val="236"/>
        </w:trPr>
        <w:tc>
          <w:tcPr>
            <w:cnfStyle w:val="001000000000" w:firstRow="0" w:lastRow="0" w:firstColumn="1" w:lastColumn="0" w:oddVBand="0" w:evenVBand="0" w:oddHBand="0" w:evenHBand="0" w:firstRowFirstColumn="0" w:firstRowLastColumn="0" w:lastRowFirstColumn="0" w:lastRowLastColumn="0"/>
            <w:tcW w:w="2430" w:type="pct"/>
          </w:tcPr>
          <w:p w14:paraId="2A430B6B" w14:textId="77777777" w:rsidR="00B972F1" w:rsidRPr="00BF7B56" w:rsidRDefault="00B972F1">
            <w:pPr>
              <w:jc w:val="center"/>
              <w:rPr>
                <w:rFonts w:ascii="Arial" w:eastAsia="Times New Roman" w:hAnsi="Arial" w:cs="Arial"/>
                <w:b w:val="0"/>
                <w:bCs w:val="0"/>
                <w:color w:val="595959"/>
                <w:kern w:val="0"/>
                <w:sz w:val="18"/>
                <w:szCs w:val="18"/>
                <w:lang w:val="en-US" w:eastAsia="es-CO"/>
                <w14:ligatures w14:val="none"/>
              </w:rPr>
            </w:pPr>
            <w:r w:rsidRPr="00BF7B56">
              <w:rPr>
                <w:rFonts w:ascii="Arial" w:eastAsiaTheme="minorEastAsia" w:hAnsi="Arial" w:cs="Arial"/>
                <w:b w:val="0"/>
                <w:bCs w:val="0"/>
                <w:color w:val="595959" w:themeColor="text1" w:themeTint="A6"/>
                <w:sz w:val="18"/>
                <w:szCs w:val="18"/>
                <w:lang w:val="en-US"/>
              </w:rPr>
              <w:t>Technicians and professionals of the intermediate level</w:t>
            </w:r>
          </w:p>
        </w:tc>
        <w:tc>
          <w:tcPr>
            <w:tcW w:w="1400" w:type="pct"/>
          </w:tcPr>
          <w:p w14:paraId="6919CDED"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356</w:t>
            </w:r>
          </w:p>
        </w:tc>
        <w:tc>
          <w:tcPr>
            <w:tcW w:w="1169" w:type="pct"/>
          </w:tcPr>
          <w:p w14:paraId="1DFDF6EF" w14:textId="77777777" w:rsidR="00B972F1" w:rsidRPr="005537D7" w:rsidRDefault="00B972F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1,72%</w:t>
            </w:r>
          </w:p>
        </w:tc>
      </w:tr>
      <w:tr w:rsidR="00B972F1" w:rsidRPr="005537D7" w14:paraId="54E5CA3E" w14:textId="77777777" w:rsidTr="005537D7">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430" w:type="pct"/>
          </w:tcPr>
          <w:p w14:paraId="46541EA0" w14:textId="77777777" w:rsidR="00B972F1" w:rsidRPr="005537D7" w:rsidRDefault="00B972F1">
            <w:pPr>
              <w:jc w:val="center"/>
              <w:rPr>
                <w:rFonts w:ascii="Arial" w:eastAsia="Times New Roman" w:hAnsi="Arial" w:cs="Arial"/>
                <w:b w:val="0"/>
                <w:bCs w:val="0"/>
                <w:color w:val="595959"/>
                <w:kern w:val="0"/>
                <w:sz w:val="18"/>
                <w:szCs w:val="18"/>
                <w:lang w:eastAsia="es-CO"/>
                <w14:ligatures w14:val="none"/>
              </w:rPr>
            </w:pPr>
            <w:r w:rsidRPr="005537D7">
              <w:rPr>
                <w:rFonts w:ascii="Arial" w:eastAsiaTheme="minorEastAsia" w:hAnsi="Arial" w:cs="Arial"/>
                <w:b w:val="0"/>
                <w:bCs w:val="0"/>
                <w:color w:val="595959" w:themeColor="text1" w:themeTint="A6"/>
                <w:sz w:val="18"/>
                <w:szCs w:val="18"/>
              </w:rPr>
              <w:t>Administrative Support Staff</w:t>
            </w:r>
          </w:p>
        </w:tc>
        <w:tc>
          <w:tcPr>
            <w:tcW w:w="1400" w:type="pct"/>
          </w:tcPr>
          <w:p w14:paraId="2427B4DF"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195</w:t>
            </w:r>
          </w:p>
        </w:tc>
        <w:tc>
          <w:tcPr>
            <w:tcW w:w="1169" w:type="pct"/>
          </w:tcPr>
          <w:p w14:paraId="22529333" w14:textId="77777777" w:rsidR="00B972F1" w:rsidRPr="005537D7" w:rsidRDefault="00B972F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95959"/>
                <w:kern w:val="0"/>
                <w:sz w:val="18"/>
                <w:szCs w:val="18"/>
                <w:lang w:eastAsia="es-CO"/>
                <w14:ligatures w14:val="none"/>
              </w:rPr>
            </w:pPr>
            <w:r w:rsidRPr="005537D7">
              <w:rPr>
                <w:rFonts w:ascii="Arial" w:eastAsiaTheme="minorEastAsia" w:hAnsi="Arial" w:cs="Arial"/>
                <w:color w:val="595959" w:themeColor="text1" w:themeTint="A6"/>
                <w:sz w:val="18"/>
                <w:szCs w:val="18"/>
              </w:rPr>
              <w:t>0,94%</w:t>
            </w:r>
          </w:p>
        </w:tc>
      </w:tr>
    </w:tbl>
    <w:p w14:paraId="0E8C87A4" w14:textId="77777777" w:rsidR="00B972F1" w:rsidRPr="00BF7B56" w:rsidRDefault="00B972F1" w:rsidP="00B972F1">
      <w:pPr>
        <w:jc w:val="both"/>
        <w:rPr>
          <w:rFonts w:ascii="Arial" w:hAnsi="Arial" w:cs="Arial"/>
          <w:sz w:val="20"/>
          <w:szCs w:val="20"/>
          <w:lang w:val="en-US"/>
        </w:rPr>
      </w:pPr>
      <w:r w:rsidRPr="00BF7B56">
        <w:rPr>
          <w:rFonts w:ascii="Arial" w:hAnsi="Arial" w:cs="Arial"/>
          <w:sz w:val="20"/>
          <w:szCs w:val="20"/>
          <w:lang w:val="en-US"/>
        </w:rPr>
        <w:t>Source: ONS team elaboration from Sivigila.</w:t>
      </w:r>
    </w:p>
    <w:p w14:paraId="403C4D42" w14:textId="750478AB" w:rsidR="00B972F1" w:rsidRPr="00BF7B56" w:rsidRDefault="00B972F1" w:rsidP="00B972F1">
      <w:pPr>
        <w:jc w:val="both"/>
        <w:rPr>
          <w:rFonts w:ascii="Arial" w:hAnsi="Arial" w:cs="Arial"/>
          <w:lang w:val="en-US"/>
        </w:rPr>
      </w:pPr>
      <w:r w:rsidRPr="00BF7B56">
        <w:rPr>
          <w:rFonts w:ascii="Arial" w:hAnsi="Arial" w:cs="Arial"/>
          <w:lang w:val="en-US"/>
        </w:rPr>
        <w:t xml:space="preserve">The highest rates recorded during the study period were in adolescents aged 15 to 19 with 5.13 cases per 100,000 inhabitants, followed by children aged 10 to 14 years with 5.06 cases. The rate in male children aged 10 to 14 was 8.65 cases per 100,000 inhabitants (n=2,903; 16.73%), in adolescents of the same gender it was 8.80 cases (n=2,859; 16.48), in young adults aged 20 to 24 it was 8.91 cases (n=2,698; 15.55) and in adult men aged 25 to 29 it was 7.84 cases (n=2,141; 12.34). In contrast to youth, the indicators in older men gradually tend to decrease as the years progress, those between 55 and 59 years old or those over 75 years old had less than 1 case per 100,000 people. </w:t>
      </w:r>
    </w:p>
    <w:p w14:paraId="646CBD08" w14:textId="4739D058" w:rsidR="00B972F1" w:rsidRPr="00BF7B56" w:rsidRDefault="00B972F1" w:rsidP="00B972F1">
      <w:pPr>
        <w:jc w:val="both"/>
        <w:rPr>
          <w:rFonts w:ascii="Arial" w:hAnsi="Arial" w:cs="Arial"/>
          <w:lang w:val="en-US"/>
        </w:rPr>
      </w:pPr>
      <w:r w:rsidRPr="00BF7B56">
        <w:rPr>
          <w:rFonts w:ascii="Arial" w:hAnsi="Arial" w:cs="Arial"/>
          <w:lang w:val="en-US"/>
        </w:rPr>
        <w:t>In the case of females, it was adolescents aged 15 to 19 years who indicated the highest rate during the study period with 1.44 cases per 100,000 inhabitants (n=464; 14.06%), followed by girls aged 10 to 14 years with a rate of 1.37 cases (n=448; 13.58%), and young adults with 1.26 cases (n=389; 11.79%). From 30 years of age onwards, there were less than 1 cases in women per 100,000 inhabitants.</w:t>
      </w:r>
    </w:p>
    <w:p w14:paraId="3A9CD6DD" w14:textId="701D4E3C" w:rsidR="00B972F1" w:rsidRPr="00BF7B56" w:rsidRDefault="00B972F1" w:rsidP="00B972F1">
      <w:pPr>
        <w:jc w:val="both"/>
        <w:rPr>
          <w:rFonts w:ascii="Arial" w:hAnsi="Arial" w:cs="Arial"/>
          <w:sz w:val="24"/>
          <w:szCs w:val="24"/>
          <w:lang w:val="en-US"/>
        </w:rPr>
      </w:pPr>
      <w:r w:rsidRPr="00BF7B56">
        <w:rPr>
          <w:rFonts w:ascii="Arial" w:hAnsi="Arial" w:cs="Arial"/>
          <w:lang w:val="en-US"/>
        </w:rPr>
        <w:t>The adjustment of rates according to age and sex suggested a slight increase in both men and women, going from a crude rate of 4.75 cases per 100,000 inhabitants to an adjusted rate of 4.78 in the former; For women, the increase in the rate was also three tenths, going from 0.87 crude to 0.90 adjusted (</w:t>
      </w:r>
      <w:r w:rsidR="005537D7" w:rsidRPr="005537D7">
        <w:rPr>
          <w:rFonts w:ascii="Arial" w:hAnsi="Arial" w:cs="Arial"/>
        </w:rPr>
        <w:fldChar w:fldCharType="begin"/>
      </w:r>
      <w:r w:rsidR="005537D7" w:rsidRPr="00BF7B56">
        <w:rPr>
          <w:rFonts w:ascii="Arial" w:hAnsi="Arial" w:cs="Arial"/>
          <w:lang w:val="en-US"/>
        </w:rPr>
        <w:instrText xml:space="preserve"> REF _Ref168669938 \h  \* MERGEFORMAT </w:instrText>
      </w:r>
      <w:r w:rsidR="005537D7" w:rsidRPr="005537D7">
        <w:rPr>
          <w:rFonts w:ascii="Arial" w:hAnsi="Arial" w:cs="Arial"/>
        </w:rPr>
      </w:r>
      <w:r w:rsidR="005537D7" w:rsidRPr="005537D7">
        <w:rPr>
          <w:rFonts w:ascii="Arial" w:hAnsi="Arial" w:cs="Arial"/>
        </w:rPr>
        <w:fldChar w:fldCharType="separate"/>
      </w:r>
      <w:r w:rsidR="005537D7" w:rsidRPr="00BF7B56">
        <w:rPr>
          <w:rFonts w:ascii="Arial" w:hAnsi="Arial" w:cs="Arial"/>
          <w:sz w:val="20"/>
          <w:szCs w:val="20"/>
          <w:lang w:val="en-US"/>
        </w:rPr>
        <w:t xml:space="preserve">Graphic </w:t>
      </w:r>
      <w:r w:rsidR="005537D7" w:rsidRPr="00BF7B56">
        <w:rPr>
          <w:rFonts w:ascii="Arial" w:hAnsi="Arial" w:cs="Arial"/>
          <w:noProof/>
          <w:sz w:val="20"/>
          <w:szCs w:val="20"/>
          <w:lang w:val="en-US"/>
        </w:rPr>
        <w:t>2</w:t>
      </w:r>
      <w:r w:rsidR="005537D7" w:rsidRPr="005537D7">
        <w:rPr>
          <w:rFonts w:ascii="Arial" w:hAnsi="Arial" w:cs="Arial"/>
        </w:rPr>
        <w:fldChar w:fldCharType="end"/>
      </w:r>
      <w:r w:rsidRPr="00BF7B56">
        <w:rPr>
          <w:rFonts w:ascii="Arial" w:hAnsi="Arial" w:cs="Arial"/>
          <w:lang w:val="en-US"/>
        </w:rPr>
        <w:t xml:space="preserve">).  </w:t>
      </w:r>
    </w:p>
    <w:p w14:paraId="331A3726" w14:textId="2BE20DF1" w:rsidR="005537D7" w:rsidRPr="00BF7B56" w:rsidRDefault="005537D7" w:rsidP="005537D7">
      <w:pPr>
        <w:pStyle w:val="Caption"/>
        <w:keepNext/>
        <w:jc w:val="center"/>
        <w:rPr>
          <w:rFonts w:ascii="Arial" w:hAnsi="Arial" w:cs="Arial"/>
          <w:i w:val="0"/>
          <w:iCs w:val="0"/>
          <w:color w:val="auto"/>
          <w:sz w:val="20"/>
          <w:szCs w:val="20"/>
          <w:lang w:val="en-US"/>
        </w:rPr>
      </w:pPr>
      <w:bookmarkStart w:id="2" w:name="_Ref168669938"/>
      <w:r w:rsidRPr="00BF7B56">
        <w:rPr>
          <w:rFonts w:ascii="Arial" w:hAnsi="Arial" w:cs="Arial"/>
          <w:b/>
          <w:bCs/>
          <w:i w:val="0"/>
          <w:iCs w:val="0"/>
          <w:color w:val="auto"/>
          <w:sz w:val="20"/>
          <w:szCs w:val="20"/>
          <w:lang w:val="en-US"/>
        </w:rPr>
        <w:t xml:space="preserve">Graphic </w:t>
      </w:r>
      <w:r w:rsidRPr="005537D7">
        <w:rPr>
          <w:rFonts w:ascii="Arial" w:hAnsi="Arial" w:cs="Arial"/>
          <w:b/>
          <w:bCs/>
          <w:i w:val="0"/>
          <w:iCs w:val="0"/>
          <w:color w:val="auto"/>
          <w:sz w:val="20"/>
          <w:szCs w:val="20"/>
        </w:rPr>
        <w:fldChar w:fldCharType="begin"/>
      </w:r>
      <w:r w:rsidRPr="00BF7B56">
        <w:rPr>
          <w:rFonts w:ascii="Arial" w:hAnsi="Arial" w:cs="Arial"/>
          <w:b/>
          <w:bCs/>
          <w:i w:val="0"/>
          <w:iCs w:val="0"/>
          <w:color w:val="auto"/>
          <w:sz w:val="20"/>
          <w:szCs w:val="20"/>
          <w:lang w:val="en-US"/>
        </w:rPr>
        <w:instrText xml:space="preserve"> SEQ Gráfico \* ARABIC </w:instrText>
      </w:r>
      <w:r w:rsidRPr="005537D7">
        <w:rPr>
          <w:rFonts w:ascii="Arial" w:hAnsi="Arial" w:cs="Arial"/>
          <w:b/>
          <w:bCs/>
          <w:i w:val="0"/>
          <w:iCs w:val="0"/>
          <w:color w:val="auto"/>
          <w:sz w:val="20"/>
          <w:szCs w:val="20"/>
        </w:rPr>
        <w:fldChar w:fldCharType="separate"/>
      </w:r>
      <w:r w:rsidRPr="00BF7B56">
        <w:rPr>
          <w:rFonts w:ascii="Arial" w:hAnsi="Arial" w:cs="Arial"/>
          <w:b/>
          <w:bCs/>
          <w:i w:val="0"/>
          <w:iCs w:val="0"/>
          <w:noProof/>
          <w:color w:val="auto"/>
          <w:sz w:val="20"/>
          <w:szCs w:val="20"/>
          <w:lang w:val="en-US"/>
        </w:rPr>
        <w:t>2</w:t>
      </w:r>
      <w:r w:rsidRPr="005537D7">
        <w:rPr>
          <w:rFonts w:ascii="Arial" w:hAnsi="Arial" w:cs="Arial"/>
          <w:b/>
          <w:bCs/>
          <w:i w:val="0"/>
          <w:iCs w:val="0"/>
          <w:color w:val="auto"/>
          <w:sz w:val="20"/>
          <w:szCs w:val="20"/>
        </w:rPr>
        <w:fldChar w:fldCharType="end"/>
      </w:r>
      <w:bookmarkEnd w:id="2"/>
      <w:r w:rsidRPr="00BF7B56">
        <w:rPr>
          <w:rFonts w:ascii="Arial" w:hAnsi="Arial" w:cs="Arial"/>
          <w:b/>
          <w:bCs/>
          <w:i w:val="0"/>
          <w:iCs w:val="0"/>
          <w:color w:val="auto"/>
          <w:sz w:val="20"/>
          <w:szCs w:val="20"/>
          <w:lang w:val="en-US"/>
        </w:rPr>
        <w:t>.</w:t>
      </w:r>
      <w:r w:rsidRPr="00BF7B56">
        <w:rPr>
          <w:rFonts w:ascii="Arial" w:hAnsi="Arial" w:cs="Arial"/>
          <w:i w:val="0"/>
          <w:iCs w:val="0"/>
          <w:color w:val="auto"/>
          <w:sz w:val="20"/>
          <w:szCs w:val="20"/>
          <w:lang w:val="en-US"/>
        </w:rPr>
        <w:t xml:space="preserve"> Incidence rate of pyrotechnic gunpowder injuries adjusted by age and sex, Colombia, 2007-2022</w:t>
      </w:r>
    </w:p>
    <w:p w14:paraId="47211683" w14:textId="77777777" w:rsidR="00B972F1" w:rsidRDefault="00B972F1" w:rsidP="00B972F1">
      <w:pPr>
        <w:jc w:val="both"/>
        <w:rPr>
          <w:rFonts w:ascii="Arial" w:hAnsi="Arial" w:cs="Arial"/>
          <w:color w:val="FF0000"/>
          <w:sz w:val="24"/>
          <w:szCs w:val="24"/>
        </w:rPr>
      </w:pPr>
      <w:r>
        <w:rPr>
          <w:rFonts w:ascii="Arial" w:hAnsi="Arial" w:cs="Arial"/>
          <w:noProof/>
          <w:sz w:val="24"/>
          <w:szCs w:val="24"/>
        </w:rPr>
        <w:drawing>
          <wp:inline distT="0" distB="0" distL="0" distR="0" wp14:anchorId="14719717" wp14:editId="6E2B002D">
            <wp:extent cx="5612130" cy="2621638"/>
            <wp:effectExtent l="0" t="0" r="0" b="0"/>
            <wp:docPr id="356761344" name="Imagen 2" descr="Graphic&#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1344" name="Imagen 2" descr="Gráf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2621638"/>
                    </a:xfrm>
                    <a:prstGeom prst="rect">
                      <a:avLst/>
                    </a:prstGeom>
                    <a:noFill/>
                  </pic:spPr>
                </pic:pic>
              </a:graphicData>
            </a:graphic>
          </wp:inline>
        </w:drawing>
      </w:r>
    </w:p>
    <w:p w14:paraId="5B6979F4" w14:textId="77777777" w:rsidR="00B972F1" w:rsidRPr="00BF7B56" w:rsidRDefault="00B972F1" w:rsidP="00B972F1">
      <w:pPr>
        <w:jc w:val="both"/>
        <w:rPr>
          <w:rFonts w:ascii="Arial" w:hAnsi="Arial" w:cs="Arial"/>
          <w:sz w:val="20"/>
          <w:szCs w:val="20"/>
          <w:lang w:val="en-US"/>
        </w:rPr>
      </w:pPr>
      <w:r w:rsidRPr="00BF7B56">
        <w:rPr>
          <w:rFonts w:ascii="Arial" w:hAnsi="Arial" w:cs="Arial"/>
          <w:sz w:val="20"/>
          <w:szCs w:val="20"/>
          <w:lang w:val="en-US"/>
        </w:rPr>
        <w:t>Source: ONS team elaboration from Sivigila.</w:t>
      </w:r>
    </w:p>
    <w:p w14:paraId="1C475613" w14:textId="77FBD8AE" w:rsidR="00B972F1" w:rsidRDefault="00B972F1" w:rsidP="00B972F1">
      <w:pPr>
        <w:spacing w:line="276" w:lineRule="auto"/>
        <w:jc w:val="both"/>
        <w:rPr>
          <w:rFonts w:ascii="Arial" w:hAnsi="Arial" w:cs="Arial"/>
          <w:color w:val="000000"/>
        </w:rPr>
      </w:pPr>
      <w:r w:rsidRPr="00BF7B56">
        <w:rPr>
          <w:rFonts w:ascii="Arial" w:hAnsi="Arial" w:cs="Arial"/>
          <w:color w:val="000000"/>
          <w:lang w:val="en-US"/>
        </w:rPr>
        <w:t xml:space="preserve">For its part, the fatality rate of firecracker injuries in the country was 0.46% for the study period. In 2015 and 2017 alone, a lethality rate of 1% was reported for this cause, with a higher risk of death in women (1.4 and 1.1% per year, respectively) than in men (0.9%, for each year). These two years, in addition to bearing the highest incidences, claimed a third </w:t>
      </w:r>
      <w:r w:rsidRPr="00BF7B56">
        <w:rPr>
          <w:rFonts w:ascii="Arial" w:hAnsi="Arial" w:cs="Arial"/>
          <w:color w:val="000000"/>
          <w:lang w:val="en-US"/>
        </w:rPr>
        <w:lastRenderedPageBreak/>
        <w:t xml:space="preserve">of the 94 deaths caused by injuries from pyrotechnic devices, as follows: 2015 with 21.3% (n=20) of the cases and 2017 with 17% (n=16). This is consistent with what has been reported in other studies of lethality and mortality of the event </w:t>
      </w:r>
      <w:r w:rsidR="00373D56" w:rsidRPr="00FE7CDA">
        <w:rPr>
          <w:rFonts w:ascii="Arial" w:hAnsi="Arial" w:cs="Arial"/>
          <w:color w:val="000000"/>
        </w:rPr>
        <w:fldChar w:fldCharType="begin"/>
      </w:r>
      <w:r w:rsidR="00C317D6" w:rsidRPr="00BF7B56">
        <w:rPr>
          <w:rFonts w:ascii="Arial" w:hAnsi="Arial" w:cs="Arial"/>
          <w:color w:val="000000"/>
          <w:lang w:val="en-US"/>
        </w:rPr>
        <w:instrText xml:space="preserve"> ADDIN ZOTERO_ITEM CSL_CITATION {"citationID":"KU0jQXe7","properties":{"formattedCitation":"(8,9)","plainCitation":"(8,9)","noteIndex":0},"citationItems":[{"id":1215,"uris":["http://zotero.org/groups/5366598/items/GHMCWBGH"],"itemData":{"id":1215,"type":"article-journal","abstract":"1. TRAUMATISMOS POR EXPLOSION-Colombia 2. LESIONES POR EXPLOSION-Colombia 3.- RESIDUOS EXPLOSIVOS 4. ACCIDENTES POR EXPLOSIVOS 5. BOMBAS (DISPOSITIVOS EXPLOSIVOS) 6. SUSTANCIAS PELIGROSAS 7. INDUSTRIA DE EXPLOSIVOS 8. SUSTANCIAS, PRODUCTOS Y MATERIALES EXPLOSIVOS 9. SUSTANCIAS EXPLOSIVAS","collection-title":"III","container-title":"Observatorio Nacional de Salud, Instituto Nacional de Salud","DOI":"10.13140/RG.2.1.5144.7204","ISSN":"2389-9123","language":"en","note":"publisher: Unpublished","page":"76","title":"Pólvora","author":[{"family":"Castañeda-Orjuela","given":"Carlos A"},{"family":"Chaparro-Narváez","given":"Pablo E"},{"family":"Cotes-Cantillo","given":"Karol"},{"family":"Vargas-Sandoval","given":"Gina"},{"family":"Castillo","given":"Paula"},{"family":"Hoz-Restrepo","given":"Fernando De La"}],"issued":{"date-parts":[["2015"]]}}},{"id":1213,"uris":["http://zotero.org/groups/5366598/items/KZ2Z3PD6"],"itemData":{"id":1213,"type":"article-journal","abstract":"Los fuegos artificiales se utilizan en todo el mundo como parte de las celebraciones nacionales y culturales. Estos artefactos son capaces de infligir da  ̃ no como quemaduras y otro tipo de lesiones. En Colombia, los periodos en los que la incidencia de lesiones por fuegos artificiales aumenta importante son los de la celebración de la Navidad y de la noche de A  ̃ no Nuevo. Las lesiones por fuegos artificiales están relacionadas con la fabricación, el almacenamiento, el transporte y la comercialización, pero sobre todo, con su manipulación. Materiales y métodos: Se hizo un estudio observacional y descriptivo, y se utilizó como fuente de datos el Sistema Nacional de Vigilancia en Salud Pública (Sivigila) en el periodo comprendido entre enero de 2007 y diciembre de 2013. Resultados: Entre enero de 2007 y diciembre de 2013, se reportaron en Colombia 6.795 casos de lesiones ocasionadas por la manipulación y el uso inadecuado de la pólvora. Los eventos presentaron picos de ocurrencia los días 7, 8, 24, 25 y 31 de diciembre, así como el 1◦ de enero. Los departamentos con mayor tasa de lesiones fueron: Norte de Santander, Cauca, Quindío, Caldas, Nari  ̃ no y Antioquia. Conclusiones: Los fuegos artificiales son artefactos capaces de causar graves lesiones y muerte, al ser manipulados, elaborados y almacenados. Los ni  ̃ nos siguen siendo la población más afectada. Las medidas restrictivas solas no son eficaces y las campa  ̃ nas educativas han demostrado ser las más efectivas para evitar lesiones","container-title":"Pedriatría","DOI":"10.1016/j.rcpe.2016.04.001","issue":"2","journalAbbreviation":"Pediatr.","language":"Español","page":"41-47","title":"Epidemiología y seguimiento del impacto de la legislación sobre los fuegos artificiales en Colombia, Sur América","volume":"49","author":[{"family":"Ávila","given":"Albert Alejandro"},{"family":"Castro","given":"Tatiana"},{"family":"Aguilar","given":"Javier Alfonso"},{"family":"Valencia","given":"Carlos"}],"issued":{"date-parts":[["2016"]]}}}],"schema":"https://github.com/citation-style-language/schema/raw/master/csl-citation.json"} </w:instrText>
      </w:r>
      <w:r w:rsidR="00373D56" w:rsidRPr="00FE7CDA">
        <w:rPr>
          <w:rFonts w:ascii="Arial" w:hAnsi="Arial" w:cs="Arial"/>
          <w:color w:val="000000"/>
        </w:rPr>
        <w:fldChar w:fldCharType="separate"/>
      </w:r>
      <w:r w:rsidR="00AE4EA1" w:rsidRPr="00BF7B56">
        <w:rPr>
          <w:rFonts w:ascii="Arial" w:hAnsi="Arial" w:cs="Arial"/>
          <w:lang w:val="en-US"/>
        </w:rPr>
        <w:t>(8,9)</w:t>
      </w:r>
      <w:r w:rsidR="00373D56" w:rsidRPr="00FE7CDA">
        <w:rPr>
          <w:rFonts w:ascii="Arial" w:hAnsi="Arial" w:cs="Arial"/>
          <w:color w:val="000000"/>
        </w:rPr>
        <w:fldChar w:fldCharType="end"/>
      </w:r>
      <w:r w:rsidR="00373D56" w:rsidRPr="00BF7B56">
        <w:rPr>
          <w:rFonts w:ascii="Arial" w:hAnsi="Arial" w:cs="Arial"/>
          <w:color w:val="000000"/>
          <w:lang w:val="en-US"/>
        </w:rPr>
        <w:t xml:space="preserve">; however, some authors reported an increase in lethality of up to 13% when the events occurred in gunpowder factories or when poisoning from the ingestion of these substances was referred to </w:t>
      </w:r>
      <w:r w:rsidR="00373D56" w:rsidRPr="00FE7CDA">
        <w:rPr>
          <w:rFonts w:ascii="Arial" w:hAnsi="Arial" w:cs="Arial"/>
          <w:color w:val="000000"/>
        </w:rPr>
        <w:fldChar w:fldCharType="begin"/>
      </w:r>
      <w:r w:rsidR="00C317D6" w:rsidRPr="00BF7B56">
        <w:rPr>
          <w:rFonts w:ascii="Arial" w:hAnsi="Arial" w:cs="Arial"/>
          <w:color w:val="000000"/>
          <w:lang w:val="en-US"/>
        </w:rPr>
        <w:instrText xml:space="preserve"> ADDIN ZOTERO_ITEM CSL_CITATION {"citationID":"DpaF4pnN","properties":{"formattedCitation":"(14,15)","plainCitation":"(14,15)","noteIndex":0},"citationItems":[{"id":1505,"uris":["http://zotero.org/groups/5366598/items/PRV6K57G"],"itemData":{"id":1505,"type":"article-journal","abstract":"The aim of this study was to evaluate the epidemiology of burns due to gunpowder explosions in fireworks factories. Three hundred and fifty-one patients having burns caused by gunpowder explosions in a fireworks factory were admitted to our center from 1 January 1987 to 31 December 1999 and the clinical notes of 339 patients were available for review. Data on age, sex, size, depth and sites of burn, incidence by month, inhalation injury, associated injuries, number of operations, length of hospital stay, morbidity, mortality, and causes of explosions were recorded. The majority of the patients were male, with a mean age of 36.7 years. The mean total burn surface area was 40.9%, mostly deep burns. The commonest areas of the body to be injured were the head and neck. One hundred and eighty-five patients (55%) were injured in December, November, and January. Sixty-five patients (19%) had an inhalation injury, 35 having tracheotomies and mechanical ventilation. Thirty-five patients (10%) had associated</w:instrText>
      </w:r>
      <w:r w:rsidR="00C317D6">
        <w:rPr>
          <w:rFonts w:ascii="Arial" w:hAnsi="Arial" w:cs="Arial"/>
          <w:color w:val="000000"/>
        </w:rPr>
        <w:instrText xml:space="preserve"> injuries, the commonest being the fracture of limbs (25 patients). Two hundred and thirty-two patients (68%) required operations while the number of operations including debridement and grafting, or tracheotomy, per patient were 2.7. The mean time in hospital of the survivors was 32 days with a range of 1-94 days. Acute respiratory distress syndrome (ARDS) and sepsis were the commonest complications during the early post-burn period (7 days or less) and the later period (&gt;7 days), respectively. Forty-four patients died in this series giving a mortality rate of 13%. The commonest cause of death was sepsis (27 patients), followed by multiple organ dysfunction syndrome (MODS) (11 patients). Most accidents (71%) were caused by too much gunpowder put in at one time and accidents resulting from carelessness while making fireworks. Prevention measures are also discussed.","container-title":"Burns: Journal of the International Society for Burn Injuries","DOI":"10.1016/s0305-4179(01)00122-x","ISSN":"0305-4179","issue":"3","journalAbbreviation":"Burns","language":"eng","note":"PMID: 11996855","page":"245-249","source":"PubMed","title":"Burns due to gunpowder explosions in fireworks factory: a 13-year retrospective study","title-short":"Burns due to gunpowder explosions in fireworks factory","volume":"28","author":[{"family":"Chen","given":"Xu-Lin"},{"family":"Wang","given":"Yong-Jie"},{"family":"Wang","given":"Chang-Rong"},{"family":"Hu","given":"De-Lin"},{"family":"Sun","given":"Ye-Xiang"},{"family":"Li","given":"Shou-Sheng"}],"issued":{"date-parts":[["2002",5]]}}},{"id":1506,"uris":["http://zotero.org/groups/5366598/items/TCCQCQZD"],"itemData":{"id":1506,"type":"article-journal","abstract":"BACKGROUND: White phosphorus (WP) is widely used illicitly in fireworks in South America. We report our experience in seven Ecuadorian hospitals.\nMETHODS: A cross-sectional study of patients presented during 2009. Inclusion criteria included: reported oral ingestion of firecrackers (little devils) in any age. Data were gathered using inpatient records and a written survey of the victims.\nRESULTS: The mean age of the patients was 21.6+/-7.1 years (women 63.5%); 64.7% of cases occurred in November, December and January. In 46% of cases, the number of units ingested was between 1 and 5 (~0.3 to 1.5 g WP), maximum 40 (~12 g). Forty-seven cases attended within 12 hours (55.3%); 5.9% died and 2.4% were readmitted. The remainder were eventually discharged well. Clinical features included: abdominal pain, cramps, diarrhoea, jaundice, nausea and vomiting, abnormal liver enzymes, and coagulation times and hypoglycaemia.\nCONCLUSIONS: The typical case was an adolescent woman between 16 and 19 years with self-harm around Christmas. There was no specific treatment, but early attendance was associated with improved prognosis. Further studies are necessary to establish an adequate protocol of treatment.","container-title":"Clinical Toxicology (Philadelphia, Pa.)","DOI":"10.3109/15563650.2010.547860","ISSN":"1556-9519","issue":"1","journalAbbreviation":"Clin Toxicol (Phila)","language":"eng","note":"PMID: 21288149","page":"29-33","source":"PubMed","title":"White phosphorus poisoning by oral ingestion of firecrackers or little devils: current experience in Ecuador","title-short":"White phosphorus poisoning by oral ingestion of firecrackers or little devils","volume":"49","author":[{"family":"González-Andrade","given":"Fabricio"},{"family":"López-Pulles","given":"Ramiro"}],"issued":{"date-parts":[["2011",1]]}}}],"schema":"https://github.com/citation-style-language/schema/raw/master/csl-citation.json"} </w:instrText>
      </w:r>
      <w:r w:rsidR="00373D56" w:rsidRPr="00FE7CDA">
        <w:rPr>
          <w:rFonts w:ascii="Arial" w:hAnsi="Arial" w:cs="Arial"/>
          <w:color w:val="000000"/>
        </w:rPr>
        <w:fldChar w:fldCharType="separate"/>
      </w:r>
      <w:r w:rsidR="00AE4EA1" w:rsidRPr="00AE4EA1">
        <w:rPr>
          <w:rFonts w:ascii="Arial" w:hAnsi="Arial" w:cs="Arial"/>
        </w:rPr>
        <w:t>(14,15)</w:t>
      </w:r>
      <w:r w:rsidR="00373D56" w:rsidRPr="00FE7CDA">
        <w:rPr>
          <w:rFonts w:ascii="Arial" w:hAnsi="Arial" w:cs="Arial"/>
          <w:color w:val="000000"/>
        </w:rPr>
        <w:fldChar w:fldCharType="end"/>
      </w:r>
      <w:r w:rsidR="00373D56" w:rsidRPr="00FE7CDA">
        <w:rPr>
          <w:rFonts w:ascii="Arial" w:hAnsi="Arial" w:cs="Arial"/>
          <w:color w:val="000000"/>
        </w:rPr>
        <w:t xml:space="preserve">. </w:t>
      </w:r>
    </w:p>
    <w:p w14:paraId="70A187DB" w14:textId="01507EC7" w:rsidR="003C3F28" w:rsidRPr="00BF7B56" w:rsidRDefault="00E337D2" w:rsidP="00B972F1">
      <w:pPr>
        <w:spacing w:line="276" w:lineRule="auto"/>
        <w:jc w:val="both"/>
        <w:rPr>
          <w:rFonts w:ascii="Arial" w:hAnsi="Arial" w:cs="Arial"/>
          <w:color w:val="000000"/>
          <w:lang w:val="en-US"/>
        </w:rPr>
      </w:pPr>
      <w:r w:rsidRPr="00BF7B56">
        <w:rPr>
          <w:rFonts w:ascii="Arial" w:hAnsi="Arial" w:cs="Arial"/>
          <w:color w:val="000000"/>
          <w:lang w:val="en-US"/>
        </w:rPr>
        <w:t>On this point, it is emphasized that as of 2015, protocol 452 considers both the surveillance of events of injuries by pyrotechnic gunpowder, as well as those injuries by antipersonnel mines and unexploded ordnance. However, the open microdata provided by Sivigila do not allow differentiating the type of device that caused the injury, as provided in the complementary information section of the notification form.</w:t>
      </w:r>
    </w:p>
    <w:p w14:paraId="431469DB" w14:textId="189EC190" w:rsidR="003C3F28" w:rsidRPr="00BF7B56" w:rsidRDefault="003C3F28" w:rsidP="003C3F28">
      <w:pPr>
        <w:jc w:val="both"/>
        <w:rPr>
          <w:rFonts w:ascii="Arial" w:hAnsi="Arial" w:cs="Arial"/>
          <w:color w:val="000000"/>
          <w:lang w:val="en-US"/>
        </w:rPr>
      </w:pPr>
      <w:r w:rsidRPr="00BF7B56">
        <w:rPr>
          <w:rFonts w:ascii="Arial" w:hAnsi="Arial" w:cs="Arial"/>
          <w:color w:val="000000"/>
          <w:lang w:val="en-US"/>
        </w:rPr>
        <w:t xml:space="preserve">The INS reported for the season of intensified surveillance of firepowder injuries from December 1, 2023 to January 13, 2024, a variation of 18.5% (n=1,366) of total cases in relation to the previous season (n=1,153). The behavior of the event suggested some peaks on the 7th (n=105), 8th (n=100), 24th (n=76), 25th (n=137), December 31st (n=157) and January 1st (n=382), consistent with previous years. The departments with the most 10 new cases were Antioquia (n=152; 47.6% more than the 2022-2023 season), Nariño (n=149; -2.6%) and Bogotá, D.C. (n=126; 28.6%), 90% (n=1,229) of the injuries were burn-type, of which 44.5% were grade one, 47.6% grade two, and 7.9% grade three </w:t>
      </w:r>
      <w:r w:rsidRPr="00E337D2">
        <w:rPr>
          <w:rFonts w:ascii="Arial" w:hAnsi="Arial" w:cs="Arial"/>
          <w:color w:val="000000"/>
        </w:rPr>
        <w:fldChar w:fldCharType="begin"/>
      </w:r>
      <w:r w:rsidR="00C317D6" w:rsidRPr="00BF7B56">
        <w:rPr>
          <w:rFonts w:ascii="Arial" w:hAnsi="Arial" w:cs="Arial"/>
          <w:color w:val="000000"/>
          <w:lang w:val="en-US"/>
        </w:rPr>
        <w:instrText xml:space="preserve"> ADDIN ZOTERO_ITEM CSL_CITATION {"citationID":"DULVMXQr","properties":{"formattedCitation":"(16)","plainCitation":"(16)","noteIndex":0},"citationItems":[{"id":1504,"uris":["http://zotero.org/groups/5366598/items/IZEVCARP"],"itemData":{"id":1504,"type":"webpage","title":"Geovisor: Temporada de vigilancia intensificada de lesiones por pólvora pirotécnica","URL":"https://app.powerbi.com/view?r=eyJrIjoiMzY4MjcxZjgtYjYxZC00MGVlLTllYzUtNDJiNjA4MmE0MmNmIiwidCI6ImE2MmQ2YzdiLTlmNTktNDQ2OS05MzU5LTM1MzcxNDc1OTRiYiIsImMiOjR9","author":[{"family":"Instituto Nacional de Salud","given":""}],"accessed":{"date-parts":[["2024",6,7]]}}}],"schema":"https://github.com/citation-style-language/schema/raw/master/csl-citation.json"} </w:instrText>
      </w:r>
      <w:r w:rsidRPr="00E337D2">
        <w:rPr>
          <w:rFonts w:ascii="Arial" w:hAnsi="Arial" w:cs="Arial"/>
          <w:color w:val="000000"/>
        </w:rPr>
        <w:fldChar w:fldCharType="separate"/>
      </w:r>
      <w:r w:rsidR="00AE4EA1" w:rsidRPr="00BF7B56">
        <w:rPr>
          <w:rFonts w:ascii="Arial" w:hAnsi="Arial" w:cs="Arial"/>
          <w:lang w:val="en-US"/>
        </w:rPr>
        <w:t>(16)</w:t>
      </w:r>
      <w:r w:rsidRPr="00E337D2">
        <w:rPr>
          <w:rFonts w:ascii="Arial" w:hAnsi="Arial" w:cs="Arial"/>
          <w:color w:val="000000"/>
        </w:rPr>
        <w:fldChar w:fldCharType="end"/>
      </w:r>
      <w:r w:rsidRPr="00BF7B56">
        <w:rPr>
          <w:rFonts w:ascii="Arial" w:hAnsi="Arial" w:cs="Arial"/>
          <w:color w:val="000000"/>
          <w:lang w:val="en-US"/>
        </w:rPr>
        <w:t>.</w:t>
      </w:r>
    </w:p>
    <w:p w14:paraId="2DC39413" w14:textId="49E0C642" w:rsidR="003C3F28" w:rsidRPr="00BF7B56" w:rsidRDefault="003C3F28" w:rsidP="003C3F28">
      <w:pPr>
        <w:jc w:val="both"/>
        <w:rPr>
          <w:rFonts w:ascii="Arial" w:hAnsi="Arial" w:cs="Arial"/>
          <w:color w:val="000000"/>
          <w:lang w:val="en-US"/>
        </w:rPr>
      </w:pPr>
      <w:r w:rsidRPr="00BF7B56">
        <w:rPr>
          <w:rFonts w:ascii="Arial" w:hAnsi="Arial" w:cs="Arial"/>
          <w:color w:val="000000"/>
          <w:lang w:val="en-US"/>
        </w:rPr>
        <w:t xml:space="preserve">Of the total number of injuries for the last surveillance season, 69.6% (n=951) occurred due to direct handling, 22.9% (n=313) in observers, the remaining percentage due to transport, manufacturing, sale, storage or other activities. It should be noted that in 27.5% (n=376) of the cases, it was determined that the injured person was under the influence of alcohol and that a quarter of the cases were due to totes (26.8%; n=366), other devices (23.1%; n=316), flying devices (16.3%; n=233), rockets (10.2%; n=139), volcanoes (9.0%; n=123), sparklers (3.8%; n=52) and the remaining percentage without information </w:t>
      </w:r>
      <w:r w:rsidRPr="00E337D2">
        <w:rPr>
          <w:rFonts w:ascii="Arial" w:hAnsi="Arial" w:cs="Arial"/>
          <w:color w:val="000000"/>
        </w:rPr>
        <w:fldChar w:fldCharType="begin"/>
      </w:r>
      <w:r w:rsidR="00C317D6" w:rsidRPr="00BF7B56">
        <w:rPr>
          <w:rFonts w:ascii="Arial" w:hAnsi="Arial" w:cs="Arial"/>
          <w:color w:val="000000"/>
          <w:lang w:val="en-US"/>
        </w:rPr>
        <w:instrText xml:space="preserve"> ADDIN ZOTERO_ITEM CSL_CITATION {"citationID":"PW11bD3z","properties":{"formattedCitation":"(16)","plainCitation":"(16)","noteIndex":0},"citationItems":[{"id":1504,"uris":["http://zotero.org/groups/5366598/items/IZEVCARP"],"itemData":{"id":1504,"type":"webpage","title":"Geovisor: Temporada de vigilancia intensificada de lesiones por pólvora pirotécnica","URL":"https://app.powerbi.com/view?r=eyJrIjoiMzY4MjcxZjgtYjYxZC00MGVlLTllYzUtNDJiNjA4MmE0MmNmIiwidCI6ImE2MmQ2YzdiLTlmNTktNDQ2OS05MzU5LTM1MzcxNDc1OTRiYiIsImMiOjR9","author":[{"family":"Instituto Nacional de Salud","given":""}],"accessed":{"date-parts":[["2024",6,7]]}}}],"schema":"https://github.com/citation-style-language/schema/raw/master/csl-citation.json"} </w:instrText>
      </w:r>
      <w:r w:rsidRPr="00E337D2">
        <w:rPr>
          <w:rFonts w:ascii="Arial" w:hAnsi="Arial" w:cs="Arial"/>
          <w:color w:val="000000"/>
        </w:rPr>
        <w:fldChar w:fldCharType="separate"/>
      </w:r>
      <w:r w:rsidR="00AE4EA1" w:rsidRPr="00BF7B56">
        <w:rPr>
          <w:rFonts w:ascii="Arial" w:hAnsi="Arial" w:cs="Arial"/>
          <w:lang w:val="en-US"/>
        </w:rPr>
        <w:t>(16)</w:t>
      </w:r>
      <w:r w:rsidRPr="00E337D2">
        <w:rPr>
          <w:rFonts w:ascii="Arial" w:hAnsi="Arial" w:cs="Arial"/>
          <w:color w:val="000000"/>
        </w:rPr>
        <w:fldChar w:fldCharType="end"/>
      </w:r>
      <w:r w:rsidRPr="00BF7B56">
        <w:rPr>
          <w:rFonts w:ascii="Arial" w:hAnsi="Arial" w:cs="Arial"/>
          <w:color w:val="000000"/>
          <w:lang w:val="en-US"/>
        </w:rPr>
        <w:t>.</w:t>
      </w:r>
    </w:p>
    <w:p w14:paraId="5F27D2E3" w14:textId="421AAB01" w:rsidR="000D0329" w:rsidRPr="00BF7B56" w:rsidRDefault="009F27E7" w:rsidP="00FE7CDA">
      <w:pPr>
        <w:pStyle w:val="Heading1"/>
        <w:rPr>
          <w:szCs w:val="32"/>
          <w:lang w:val="en-US"/>
        </w:rPr>
      </w:pPr>
      <w:r w:rsidRPr="00BF7B56">
        <w:rPr>
          <w:szCs w:val="32"/>
          <w:lang w:val="en-US"/>
        </w:rPr>
        <w:t>Review of the regulations on the sale, handling and use of gunpowder in Colombia</w:t>
      </w:r>
    </w:p>
    <w:p w14:paraId="6628B55E" w14:textId="52AB2B00" w:rsidR="003B01D6" w:rsidRPr="00BF7B56" w:rsidRDefault="003B01D6" w:rsidP="00A27A2F">
      <w:pPr>
        <w:pStyle w:val="Subtitle"/>
        <w:numPr>
          <w:ilvl w:val="0"/>
          <w:numId w:val="0"/>
        </w:numPr>
        <w:rPr>
          <w:rFonts w:ascii="Arial" w:hAnsi="Arial" w:cs="Arial"/>
          <w:b/>
          <w:color w:val="auto"/>
          <w:sz w:val="24"/>
          <w:szCs w:val="24"/>
          <w:lang w:val="en-US"/>
        </w:rPr>
      </w:pPr>
      <w:r w:rsidRPr="00BF7B56">
        <w:rPr>
          <w:rFonts w:ascii="Arial" w:hAnsi="Arial" w:cs="Arial"/>
          <w:b/>
          <w:color w:val="auto"/>
          <w:sz w:val="24"/>
          <w:szCs w:val="24"/>
          <w:lang w:val="en-US"/>
        </w:rPr>
        <w:t>Evolution</w:t>
      </w:r>
    </w:p>
    <w:p w14:paraId="27922649" w14:textId="2A98F17C" w:rsidR="004C1DE9" w:rsidRPr="00BF7B56" w:rsidRDefault="004C1DE9" w:rsidP="009A3B34">
      <w:pPr>
        <w:jc w:val="both"/>
        <w:rPr>
          <w:rFonts w:ascii="Arial" w:hAnsi="Arial" w:cs="Arial"/>
          <w:lang w:val="en-US"/>
        </w:rPr>
      </w:pPr>
      <w:r w:rsidRPr="00BF7B56">
        <w:rPr>
          <w:rFonts w:ascii="Arial" w:hAnsi="Arial" w:cs="Arial"/>
          <w:lang w:val="en-US"/>
        </w:rPr>
        <w:t xml:space="preserve">The first regulatory efforts dating back to pyrotechnic gunpowder in Colombia obey the Sanitary Code, established by Law 9 of 1979 that established the responsibility of the Ministry of Health for the authorization for the sale to the public and use of pyrotechnic articles, in addition to the prohibition of the sale of these articles containing white phosphorus. Based on the previous legal basis, the Ministry of Health, through Resolution 19703 of 1988 and Resolution 4709 of 1995, which partially repealed the previous one, established sanitary measures, such as prevention campaigns, burn care routes and reference centers for care and sanctions, as well as prohibitions on handling,  transport, storage, marketing and sale of gunpowder and pyrotechnic products </w:t>
      </w:r>
      <w:r w:rsidR="009A3B34" w:rsidRPr="00947CAC">
        <w:rPr>
          <w:rFonts w:ascii="Arial" w:hAnsi="Arial" w:cs="Arial"/>
        </w:rPr>
        <w:fldChar w:fldCharType="begin"/>
      </w:r>
      <w:r w:rsidR="00C317D6" w:rsidRPr="00BF7B56">
        <w:rPr>
          <w:rFonts w:ascii="Arial" w:hAnsi="Arial" w:cs="Arial"/>
          <w:lang w:val="en-US"/>
        </w:rPr>
        <w:instrText xml:space="preserve"> ADDIN ZOTERO_ITEM CSL_CITATION {"citationID":"cZWvuHrB","properties":{"formattedCitation":"(4)","plainCitation":"(4)","noteIndex":0},"citationItems":[{"id":"GFJYlw4W/b6oBnRje","uris":["http://zotero.org/users/14292959/items/JFHC92ZD"],"itemData":{"id":1258,"type":"article-journal","container-title":"Serie III Pólvora","language":"es","source":"Zotero","title":"Lesiones por pólvora en Colombia, 2008 -2013","author":[{"literal":"Instituto Nacional de Salud"},{"literal":"Observatorio Nacional de Salud"}],"issued":{"date-parts":[["2014"]]}}}],"schema":"https://github.com/citation-style-language/schema/raw/master/csl-citation.json"} </w:instrText>
      </w:r>
      <w:r w:rsidR="009A3B34" w:rsidRPr="00947CAC">
        <w:rPr>
          <w:rFonts w:ascii="Arial" w:hAnsi="Arial" w:cs="Arial"/>
        </w:rPr>
        <w:fldChar w:fldCharType="separate"/>
      </w:r>
      <w:r w:rsidR="005B1351" w:rsidRPr="00BF7B56">
        <w:rPr>
          <w:rFonts w:ascii="Arial" w:hAnsi="Arial" w:cs="Arial"/>
          <w:szCs w:val="20"/>
          <w:lang w:val="en-US"/>
        </w:rPr>
        <w:t>(4)</w:t>
      </w:r>
      <w:r w:rsidR="009A3B34" w:rsidRPr="00947CAC">
        <w:rPr>
          <w:rFonts w:ascii="Arial" w:hAnsi="Arial" w:cs="Arial"/>
        </w:rPr>
        <w:fldChar w:fldCharType="end"/>
      </w:r>
      <w:r w:rsidR="009A3B34" w:rsidRPr="00BF7B56">
        <w:rPr>
          <w:rFonts w:ascii="Arial" w:hAnsi="Arial" w:cs="Arial"/>
          <w:lang w:val="en-US"/>
        </w:rPr>
        <w:t xml:space="preserve">. </w:t>
      </w:r>
    </w:p>
    <w:p w14:paraId="7F4D2DC5" w14:textId="09500160" w:rsidR="001625BD" w:rsidRPr="00BF7B56" w:rsidRDefault="009A3B34" w:rsidP="00B614C1">
      <w:pPr>
        <w:jc w:val="both"/>
        <w:rPr>
          <w:rFonts w:ascii="Arial" w:hAnsi="Arial" w:cs="Arial"/>
          <w:lang w:val="en-US"/>
        </w:rPr>
      </w:pPr>
      <w:r w:rsidRPr="00BF7B56">
        <w:rPr>
          <w:rFonts w:ascii="Arial" w:hAnsi="Arial" w:cs="Arial"/>
          <w:lang w:val="en-US"/>
        </w:rPr>
        <w:t xml:space="preserve">As part of this regulatory effort, local initiatives can be highlighted, especially the case of the Capital District, where, based on national regulations, different administrative acts were issued for the sale and use of pyrotechnic articles, but given the increasing behavior of the </w:t>
      </w:r>
      <w:r w:rsidRPr="00BF7B56">
        <w:rPr>
          <w:rFonts w:ascii="Arial" w:hAnsi="Arial" w:cs="Arial"/>
          <w:lang w:val="en-US"/>
        </w:rPr>
        <w:lastRenderedPageBreak/>
        <w:t>cases of people injured by gunpowder, in the administration of Antanas Mockus the decision was taken to prohibit the sale of these articles through Decree 791 of 1995 "</w:t>
      </w:r>
      <w:r w:rsidRPr="00BF7B56">
        <w:rPr>
          <w:rFonts w:ascii="Arial" w:hAnsi="Arial" w:cs="Arial"/>
          <w:i/>
          <w:lang w:val="en-US"/>
        </w:rPr>
        <w:t>The sale of pyrotechnic items, fireworks and balloons, as well as the use of the same products in the Capital District, is prohibited."</w:t>
      </w:r>
      <w:r w:rsidR="009136B4" w:rsidRPr="00BF7B56">
        <w:rPr>
          <w:rFonts w:ascii="Arial" w:hAnsi="Arial" w:cs="Arial"/>
          <w:lang w:val="en-US"/>
        </w:rPr>
        <w:t xml:space="preserve"> </w:t>
      </w:r>
    </w:p>
    <w:p w14:paraId="5680E191" w14:textId="02B23B7A" w:rsidR="009136B4" w:rsidRPr="00BF7B56" w:rsidRDefault="009136B4" w:rsidP="009136B4">
      <w:pPr>
        <w:jc w:val="both"/>
        <w:rPr>
          <w:rFonts w:ascii="Arial" w:hAnsi="Arial" w:cs="Arial"/>
          <w:lang w:val="en-US"/>
        </w:rPr>
      </w:pPr>
      <w:r w:rsidRPr="00BF7B56">
        <w:rPr>
          <w:rFonts w:ascii="Arial" w:hAnsi="Arial" w:cs="Arial"/>
          <w:lang w:val="en-US"/>
        </w:rPr>
        <w:t xml:space="preserve">By virtue of the above, and taking into account part of the local experience, the Congress of the Republic </w:t>
      </w:r>
      <w:r w:rsidRPr="00947CAC">
        <w:rPr>
          <w:rFonts w:ascii="Arial" w:hAnsi="Arial" w:cs="Arial"/>
        </w:rPr>
        <w:fldChar w:fldCharType="begin"/>
      </w:r>
      <w:r w:rsidR="00C317D6" w:rsidRPr="00BF7B56">
        <w:rPr>
          <w:rFonts w:ascii="Arial" w:hAnsi="Arial" w:cs="Arial"/>
          <w:lang w:val="en-US"/>
        </w:rPr>
        <w:instrText xml:space="preserve"> ADDIN ZOTERO_ITEM CSL_CITATION {"citationID":"aSCuYWtZ","properties":{"formattedCitation":"(17)","plainCitation":"(17)","noteIndex":0},"citationItems":[{"id":"GFJYlw4W/h6W4ggar","uris":["http://zotero.org/users/14292959/items/QBSTSCCW"],"itemData":{"id":1250,"type":"standard","event-place":"Bogotá, D. C., Colombia","publisher-place":"Bogotá, D. C., Colombia","title":"LEY 670 DE 2001. Por medio de la cual se desarrolla parcialmente el artículo 44 de la Constitución Política para garantizar la vida, la integridad física y la recreación del niñoexpuesto al riesgo por el manejo de artículos pirotécnicos o explosivos.","author":[{"family":"Congreso de la República","given":""}],"issued":{"date-parts":[["2001"]]}}}],"schema":"https://github.com/citation-style-language/schema/raw/master/csl-citation.json"} </w:instrText>
      </w:r>
      <w:r w:rsidRPr="00947CAC">
        <w:rPr>
          <w:rFonts w:ascii="Arial" w:hAnsi="Arial" w:cs="Arial"/>
        </w:rPr>
        <w:fldChar w:fldCharType="separate"/>
      </w:r>
      <w:r w:rsidR="00AE4EA1" w:rsidRPr="00BF7B56">
        <w:rPr>
          <w:rFonts w:ascii="Arial" w:hAnsi="Arial" w:cs="Arial"/>
          <w:lang w:val="en-US"/>
        </w:rPr>
        <w:t>(17)</w:t>
      </w:r>
      <w:r w:rsidRPr="00947CAC">
        <w:rPr>
          <w:rFonts w:ascii="Arial" w:hAnsi="Arial" w:cs="Arial"/>
        </w:rPr>
        <w:fldChar w:fldCharType="end"/>
      </w:r>
      <w:r w:rsidRPr="00BF7B56">
        <w:rPr>
          <w:rFonts w:ascii="Arial" w:hAnsi="Arial" w:cs="Arial"/>
          <w:lang w:val="en-US"/>
        </w:rPr>
        <w:t xml:space="preserve"> it issues Law 670 of 2001, which establishes at the head of the mayor's offices the competence to allow the use and distribution of pyrotechnic articles or fireworks, establishing the necessary security conditions, the prohibition of their sale to minors and persons in a state of drunkenness, with the respective sanctions for non-compliance; the obligatory nature of care in hospitals and clinics for the victims of these devices; as well as measures against parents whose children are burned. </w:t>
      </w:r>
    </w:p>
    <w:p w14:paraId="04F61FB6" w14:textId="3DBA2FEF" w:rsidR="00FD20BE" w:rsidRPr="00BF7B56" w:rsidRDefault="007A68C0" w:rsidP="0050467E">
      <w:pPr>
        <w:jc w:val="both"/>
        <w:rPr>
          <w:rFonts w:ascii="Arial" w:hAnsi="Arial" w:cs="Arial"/>
          <w:lang w:val="en-US"/>
        </w:rPr>
      </w:pPr>
      <w:r w:rsidRPr="00BF7B56">
        <w:rPr>
          <w:rFonts w:ascii="Arial" w:hAnsi="Arial" w:cs="Arial"/>
          <w:lang w:val="en-US"/>
        </w:rPr>
        <w:t xml:space="preserve">In addition, a complementary regulatory framework has been developed to strengthen mechanisms for the protection of minors. In particular, the Code of Childhood and Adolescence </w:t>
      </w:r>
      <w:r w:rsidR="00A3382F" w:rsidRPr="00947CAC">
        <w:rPr>
          <w:rFonts w:ascii="Arial" w:hAnsi="Arial" w:cs="Arial"/>
        </w:rPr>
        <w:fldChar w:fldCharType="begin"/>
      </w:r>
      <w:r w:rsidR="00C317D6" w:rsidRPr="00BF7B56">
        <w:rPr>
          <w:rFonts w:ascii="Arial" w:hAnsi="Arial" w:cs="Arial"/>
          <w:lang w:val="en-US"/>
        </w:rPr>
        <w:instrText xml:space="preserve"> ADDIN ZOTERO_ITEM CSL_CITATION {"citationID":"SqAoGz7b","properties":{"formattedCitation":"(18)","plainCitation":"(18)","noteIndex":0},"citationItems":[{"id":"GFJYlw4W/QoJZclB6","uris":["http://zotero.org/users/14292959/items/SRXKKN5X"],"itemData":{"id":1254,"type":"standard","event-place":"Bogotá, D. C., Colombia","publisher-place":"Bogotá, D. C., Colombia","title":"LEY 1098 DE 2006. Por la cual se expide el Código de la Infancia y la Adolescencia.","author":[{"literal":"Congreso de la República"}],"issued":{"date-parts":[["2006"]]}}}],"schema":"https://github.com/citation-style-language/schema/raw/master/csl-citation.json"} </w:instrText>
      </w:r>
      <w:r w:rsidR="00A3382F" w:rsidRPr="00947CAC">
        <w:rPr>
          <w:rFonts w:ascii="Arial" w:hAnsi="Arial" w:cs="Arial"/>
        </w:rPr>
        <w:fldChar w:fldCharType="separate"/>
      </w:r>
      <w:r w:rsidR="00AE4EA1" w:rsidRPr="00BF7B56">
        <w:rPr>
          <w:rFonts w:ascii="Arial" w:hAnsi="Arial" w:cs="Arial"/>
          <w:lang w:val="en-US"/>
        </w:rPr>
        <w:t>(18)</w:t>
      </w:r>
      <w:r w:rsidR="00A3382F" w:rsidRPr="00947CAC">
        <w:rPr>
          <w:rFonts w:ascii="Arial" w:hAnsi="Arial" w:cs="Arial"/>
        </w:rPr>
        <w:fldChar w:fldCharType="end"/>
      </w:r>
      <w:r w:rsidRPr="00BF7B56">
        <w:rPr>
          <w:rFonts w:ascii="Arial" w:hAnsi="Arial" w:cs="Arial"/>
          <w:lang w:val="en-US"/>
        </w:rPr>
        <w:t xml:space="preserve">, which determines that the National Police is responsible for the work of surveillance, control and prevention of the carrying and use of gunpowder by children or adolescents. In turn, Law 1801 of 2016 </w:t>
      </w:r>
      <w:r w:rsidR="00FD20BE" w:rsidRPr="00947CAC">
        <w:rPr>
          <w:rFonts w:ascii="Arial" w:hAnsi="Arial" w:cs="Arial"/>
        </w:rPr>
        <w:fldChar w:fldCharType="begin"/>
      </w:r>
      <w:r w:rsidR="00C317D6" w:rsidRPr="00BF7B56">
        <w:rPr>
          <w:rFonts w:ascii="Arial" w:hAnsi="Arial" w:cs="Arial"/>
          <w:lang w:val="en-US"/>
        </w:rPr>
        <w:instrText xml:space="preserve"> ADDIN ZOTERO_ITEM CSL_CITATION {"citationID":"p3nc60dW","properties":{"formattedCitation":"(19)","plainCitation":"(19)","noteIndex":0},"citationItems":[{"id":"GFJYlw4W/L21UBTnc","uris":["http://zotero.org/users/14292959/items/AYM8PMFM"],"itemData":{"id":1252,"type":"standard","event-place":"Bogotá, D. C., Colombia","publisher-place":"Bogotá, D. C., Colombia","title":"Ley 1801 de 2016. por la cual se expide el Código Nacional de Seguridad y Convivencia Ciudadana.","author":[{"family":"Congreso de la República","given":""}],"issued":{"date-parts":[["2016"]]}}}],"schema":"https://github.com/citation-style-language/schema/raw/master/csl-citation.json"} </w:instrText>
      </w:r>
      <w:r w:rsidR="00FD20BE" w:rsidRPr="00947CAC">
        <w:rPr>
          <w:rFonts w:ascii="Arial" w:hAnsi="Arial" w:cs="Arial"/>
        </w:rPr>
        <w:fldChar w:fldCharType="separate"/>
      </w:r>
      <w:r w:rsidR="00AE4EA1" w:rsidRPr="00BF7B56">
        <w:rPr>
          <w:rFonts w:ascii="Arial" w:hAnsi="Arial" w:cs="Arial"/>
          <w:lang w:val="en-US"/>
        </w:rPr>
        <w:t>(19)</w:t>
      </w:r>
      <w:r w:rsidR="00FD20BE" w:rsidRPr="00947CAC">
        <w:rPr>
          <w:rFonts w:ascii="Arial" w:hAnsi="Arial" w:cs="Arial"/>
        </w:rPr>
        <w:fldChar w:fldCharType="end"/>
      </w:r>
      <w:r w:rsidR="00FD20BE" w:rsidRPr="00BF7B56">
        <w:rPr>
          <w:rFonts w:ascii="Arial" w:hAnsi="Arial" w:cs="Arial"/>
          <w:lang w:val="en-US"/>
        </w:rPr>
        <w:t xml:space="preserve">, includes penalties for individuals for the unauthorized use of gunpowder, as well as powers to enter sites where there is a collective risk from these substances; likewise, with regard to the technical competence to pronounce on the safety conditions for the performance of shows that include the use of pyrotechnics, as well as the places where it is manufactured, stored and marketed, Law 1575 of 2012 </w:t>
      </w:r>
      <w:r w:rsidR="00FB4CB4" w:rsidRPr="00947CAC">
        <w:rPr>
          <w:rFonts w:ascii="Arial" w:hAnsi="Arial" w:cs="Arial"/>
        </w:rPr>
        <w:fldChar w:fldCharType="begin"/>
      </w:r>
      <w:r w:rsidR="00C317D6" w:rsidRPr="00BF7B56">
        <w:rPr>
          <w:rFonts w:ascii="Arial" w:hAnsi="Arial" w:cs="Arial"/>
          <w:lang w:val="en-US"/>
        </w:rPr>
        <w:instrText xml:space="preserve"> ADDIN ZOTERO_ITEM CSL_CITATION {"citationID":"Atq4eoac","properties":{"formattedCitation":"(20)","plainCitation":"(20)","noteIndex":0},"citationItems":[{"id":"GFJYlw4W/JMMnIHGQ","uris":["http://zotero.org/users/14292959/items/AWSXZHMQ"],"itemData":{"id":1429,"type":"standard","event-place":"Bogotá, D. C., Colombia","publisher-place":"Bogotá, D. C., Colombia","title":"Ley1575 de  2012. Por medio de la cual se establece la Ley General de Bomberos de Colombia","author":[{"literal":"Congreso de la República"}],"issued":{"date-parts":[["2012"]]}}}],"schema":"https://github.com/citation-style-language/schema/raw/master/csl-citation.json"} </w:instrText>
      </w:r>
      <w:r w:rsidR="00FB4CB4" w:rsidRPr="00947CAC">
        <w:rPr>
          <w:rFonts w:ascii="Arial" w:hAnsi="Arial" w:cs="Arial"/>
        </w:rPr>
        <w:fldChar w:fldCharType="separate"/>
      </w:r>
      <w:r w:rsidR="00AE4EA1" w:rsidRPr="00BF7B56">
        <w:rPr>
          <w:rFonts w:ascii="Arial" w:hAnsi="Arial" w:cs="Arial"/>
          <w:lang w:val="en-US"/>
        </w:rPr>
        <w:t>(20)</w:t>
      </w:r>
      <w:r w:rsidR="00FB4CB4" w:rsidRPr="00947CAC">
        <w:rPr>
          <w:rFonts w:ascii="Arial" w:hAnsi="Arial" w:cs="Arial"/>
        </w:rPr>
        <w:fldChar w:fldCharType="end"/>
      </w:r>
      <w:r w:rsidR="004A4091" w:rsidRPr="00BF7B56">
        <w:rPr>
          <w:rFonts w:ascii="Arial" w:hAnsi="Arial" w:cs="Arial"/>
          <w:lang w:val="en-US"/>
        </w:rPr>
        <w:t xml:space="preserve">, determined that this responsibility lies with the Colombian Fire Departments. </w:t>
      </w:r>
    </w:p>
    <w:p w14:paraId="4A91EBEE" w14:textId="7F2B0663" w:rsidR="0037685D" w:rsidRPr="00BF7B56" w:rsidRDefault="00090FEF" w:rsidP="005043EC">
      <w:pPr>
        <w:jc w:val="both"/>
        <w:rPr>
          <w:rFonts w:ascii="Arial" w:hAnsi="Arial" w:cs="Arial"/>
          <w:lang w:val="en-US"/>
        </w:rPr>
      </w:pPr>
      <w:r w:rsidRPr="00BF7B56">
        <w:rPr>
          <w:rFonts w:ascii="Arial" w:hAnsi="Arial" w:cs="Arial"/>
          <w:lang w:val="en-US"/>
        </w:rPr>
        <w:t xml:space="preserve">Law 2224 of 2022 was recently enacted </w:t>
      </w:r>
      <w:r w:rsidRPr="00947CAC">
        <w:rPr>
          <w:rFonts w:ascii="Arial" w:hAnsi="Arial" w:cs="Arial"/>
        </w:rPr>
        <w:fldChar w:fldCharType="begin"/>
      </w:r>
      <w:r w:rsidR="00C317D6" w:rsidRPr="00BF7B56">
        <w:rPr>
          <w:rFonts w:ascii="Arial" w:hAnsi="Arial" w:cs="Arial"/>
          <w:lang w:val="en-US"/>
        </w:rPr>
        <w:instrText xml:space="preserve"> ADDIN ZOTERO_ITEM CSL_CITATION {"citationID":"OPfL3Ixv","properties":{"formattedCitation":"(21)","plainCitation":"(21)","noteIndex":0},"citationItems":[{"id":"GFJYlw4W/nVZW6Mch","uris":["http://zotero.org/users/14292959/items/ESVYCVGI"],"itemData":{"id":1251,"type":"standard","event-place":"Bogotá, D. C., Colombia","publisher-place":"Bogotá, D. C., Colombia","title":"LEY 2224 DE 2022. Por medio de la cual se garantizan los derechos fundamentales a la vida, la integridad física, la salud y la recreación de todos los habitantes en especial los niños, niñas y adolescentes en el territorio nacional mediante la regulación del uso, la fabricación, la manipulación, el transporte, el almacenamiento, lacomercialización, la compra, la venta y el expendio de pólvora y productos pirotécnicos en el territorio nacional y se dictan otras disposiciones.","author":[{"family":"Congreso de la República","given":""}],"issued":{"date-parts":[["2022"]]}}}],"schema":"https://github.com/citation-style-language/schema/raw/master/csl-citation.json"} </w:instrText>
      </w:r>
      <w:r w:rsidRPr="00947CAC">
        <w:rPr>
          <w:rFonts w:ascii="Arial" w:hAnsi="Arial" w:cs="Arial"/>
        </w:rPr>
        <w:fldChar w:fldCharType="separate"/>
      </w:r>
      <w:r w:rsidR="00AE4EA1" w:rsidRPr="00BF7B56">
        <w:rPr>
          <w:rFonts w:ascii="Arial" w:hAnsi="Arial" w:cs="Arial"/>
          <w:lang w:val="en-US"/>
        </w:rPr>
        <w:t>(21)</w:t>
      </w:r>
      <w:r w:rsidRPr="00947CAC">
        <w:rPr>
          <w:rFonts w:ascii="Arial" w:hAnsi="Arial" w:cs="Arial"/>
        </w:rPr>
        <w:fldChar w:fldCharType="end"/>
      </w:r>
      <w:r w:rsidRPr="00BF7B56">
        <w:rPr>
          <w:rFonts w:ascii="Arial" w:hAnsi="Arial" w:cs="Arial"/>
          <w:lang w:val="en-US"/>
        </w:rPr>
        <w:t xml:space="preserve">, which does not repeal Law 670 of 2001, but covers aspects not included in the latter, such as formalization and professionalization of powder makers, redefinition of the categories of gunpowder, creation of an account fund for the prevention of injuries, institutional coordination, citizen culture and use of gunpowder, among others; the regulation of the aforementioned law was carried out through Decree 2174 of 2023 </w:t>
      </w:r>
      <w:r w:rsidR="0037685D" w:rsidRPr="00947CAC">
        <w:rPr>
          <w:rFonts w:ascii="Arial" w:hAnsi="Arial" w:cs="Arial"/>
        </w:rPr>
        <w:fldChar w:fldCharType="begin"/>
      </w:r>
      <w:r w:rsidR="00C317D6" w:rsidRPr="00BF7B56">
        <w:rPr>
          <w:rFonts w:ascii="Arial" w:hAnsi="Arial" w:cs="Arial"/>
          <w:lang w:val="en-US"/>
        </w:rPr>
        <w:instrText xml:space="preserve"> ADDIN ZOTERO_ITEM CSL_CITATION {"citationID":"1ByDwPBk","properties":{"formattedCitation":"(22)","plainCitation":"(22)","noteIndex":0},"citationItems":[{"id":"GFJYlw4W/1bobv5qd","uris":["http://zotero.org/users/14292959/items/IJBUTLZH"],"itemData":{"id":1249,"type":"standard","authority":"Gobierno de Colombia","event-place":"Bogotá, D. C., Colombia","publisher-place":"Bogotá, D. C., Colombia","title":"DECRETO 2174 DE 2023. Por el cual se adiciona el Capítulo 2 del Título 4 de la Parte 2 del Libro 2 del Decreto número 1066 de 2015, Único Reglamentario del Sector Interior en relación con los requisitos para el uso, fabricación, manipulación, transporte, almacenamiento, comercialización, compra, venta de pólvora y productos pirotécnicos en el territorio nacional, y se modifica el artículo 2.2.4.1.21 del Decreto número 1070 de 2015 Único reglamentario del Sector Defensa y se dictan otras disposiciones.","author":[{"family":"Ministerio del Interior","given":""},{"literal":"Ministerio de Defensa"},{"literal":"Ministerio de Justicia y del Derecho"},{"literal":"Ministerio de Salud y Protección Social"}],"issued":{"date-parts":[["2024"]]}}}],"schema":"https://github.com/citation-style-language/schema/raw/master/csl-citation.json"} </w:instrText>
      </w:r>
      <w:r w:rsidR="0037685D" w:rsidRPr="00947CAC">
        <w:rPr>
          <w:rFonts w:ascii="Arial" w:hAnsi="Arial" w:cs="Arial"/>
        </w:rPr>
        <w:fldChar w:fldCharType="separate"/>
      </w:r>
      <w:r w:rsidR="00AE4EA1" w:rsidRPr="00BF7B56">
        <w:rPr>
          <w:rFonts w:ascii="Arial" w:hAnsi="Arial" w:cs="Arial"/>
          <w:lang w:val="en-US"/>
        </w:rPr>
        <w:t>(22)</w:t>
      </w:r>
      <w:r w:rsidR="0037685D" w:rsidRPr="00947CAC">
        <w:rPr>
          <w:rFonts w:ascii="Arial" w:hAnsi="Arial" w:cs="Arial"/>
        </w:rPr>
        <w:fldChar w:fldCharType="end"/>
      </w:r>
      <w:r w:rsidR="005043EC" w:rsidRPr="00BF7B56">
        <w:rPr>
          <w:rFonts w:ascii="Arial" w:hAnsi="Arial" w:cs="Arial"/>
          <w:lang w:val="en-US"/>
        </w:rPr>
        <w:t>.</w:t>
      </w:r>
    </w:p>
    <w:p w14:paraId="23A14C2E" w14:textId="5B055197" w:rsidR="003C1009" w:rsidRPr="00BF7B56" w:rsidRDefault="003C1009" w:rsidP="005043EC">
      <w:pPr>
        <w:pStyle w:val="Caption"/>
        <w:jc w:val="center"/>
        <w:rPr>
          <w:rFonts w:ascii="Arial" w:hAnsi="Arial" w:cs="Arial"/>
          <w:i w:val="0"/>
          <w:iCs w:val="0"/>
          <w:sz w:val="20"/>
          <w:szCs w:val="20"/>
          <w:lang w:val="en-US"/>
        </w:rPr>
      </w:pPr>
      <w:r w:rsidRPr="00BF7B56">
        <w:rPr>
          <w:rFonts w:ascii="Arial" w:hAnsi="Arial" w:cs="Arial"/>
          <w:b/>
          <w:bCs/>
          <w:i w:val="0"/>
          <w:iCs w:val="0"/>
          <w:sz w:val="20"/>
          <w:szCs w:val="20"/>
          <w:lang w:val="en-US"/>
        </w:rPr>
        <w:t xml:space="preserve">Graphic </w:t>
      </w:r>
      <w:r w:rsidR="005F5520" w:rsidRPr="005537D7">
        <w:rPr>
          <w:rFonts w:ascii="Arial" w:hAnsi="Arial" w:cs="Arial"/>
          <w:b/>
          <w:bCs/>
          <w:i w:val="0"/>
          <w:iCs w:val="0"/>
          <w:sz w:val="20"/>
          <w:szCs w:val="20"/>
        </w:rPr>
        <w:fldChar w:fldCharType="begin"/>
      </w:r>
      <w:r w:rsidR="005F5520" w:rsidRPr="00BF7B56">
        <w:rPr>
          <w:rFonts w:ascii="Arial" w:hAnsi="Arial" w:cs="Arial"/>
          <w:sz w:val="16"/>
          <w:szCs w:val="16"/>
          <w:lang w:val="en-US"/>
        </w:rPr>
        <w:instrText xml:space="preserve"> SEQ Gráfico \* ARABIC </w:instrText>
      </w:r>
      <w:r w:rsidR="005F5520" w:rsidRPr="005537D7">
        <w:rPr>
          <w:rFonts w:ascii="Arial" w:hAnsi="Arial" w:cs="Arial"/>
          <w:b/>
          <w:bCs/>
          <w:i w:val="0"/>
          <w:iCs w:val="0"/>
          <w:sz w:val="20"/>
          <w:szCs w:val="20"/>
        </w:rPr>
        <w:fldChar w:fldCharType="separate"/>
      </w:r>
      <w:r w:rsidR="005537D7" w:rsidRPr="00BF7B56">
        <w:rPr>
          <w:rFonts w:ascii="Arial" w:hAnsi="Arial" w:cs="Arial"/>
          <w:b/>
          <w:bCs/>
          <w:i w:val="0"/>
          <w:iCs w:val="0"/>
          <w:noProof/>
          <w:sz w:val="20"/>
          <w:szCs w:val="20"/>
          <w:lang w:val="en-US"/>
        </w:rPr>
        <w:t>3</w:t>
      </w:r>
      <w:r w:rsidR="005F5520" w:rsidRPr="005537D7">
        <w:rPr>
          <w:rFonts w:ascii="Arial" w:hAnsi="Arial" w:cs="Arial"/>
          <w:b/>
          <w:bCs/>
          <w:i w:val="0"/>
          <w:iCs w:val="0"/>
          <w:sz w:val="20"/>
          <w:szCs w:val="20"/>
        </w:rPr>
        <w:fldChar w:fldCharType="end"/>
      </w:r>
      <w:r w:rsidRPr="00BF7B56">
        <w:rPr>
          <w:rFonts w:ascii="Arial" w:hAnsi="Arial" w:cs="Arial"/>
          <w:b/>
          <w:bCs/>
          <w:i w:val="0"/>
          <w:iCs w:val="0"/>
          <w:sz w:val="20"/>
          <w:szCs w:val="20"/>
          <w:lang w:val="en-US"/>
        </w:rPr>
        <w:t>.</w:t>
      </w:r>
      <w:r w:rsidRPr="00BF7B56">
        <w:rPr>
          <w:rFonts w:ascii="Arial" w:hAnsi="Arial" w:cs="Arial"/>
          <w:i w:val="0"/>
          <w:iCs w:val="0"/>
          <w:sz w:val="20"/>
          <w:szCs w:val="20"/>
          <w:lang w:val="en-US"/>
        </w:rPr>
        <w:t xml:space="preserve"> Evolution of national regulations on pyrotechnic powder</w:t>
      </w:r>
    </w:p>
    <w:p w14:paraId="32AD1C11" w14:textId="4C9F0E94" w:rsidR="003C1009" w:rsidRPr="00947CAC" w:rsidRDefault="003C1009" w:rsidP="003C1009">
      <w:pPr>
        <w:jc w:val="both"/>
        <w:rPr>
          <w:rFonts w:ascii="Arial" w:hAnsi="Arial" w:cs="Arial"/>
          <w:lang w:val="es-ES"/>
        </w:rPr>
      </w:pPr>
      <w:r w:rsidRPr="00947CAC">
        <w:rPr>
          <w:rFonts w:ascii="Arial" w:hAnsi="Arial" w:cs="Arial"/>
          <w:noProof/>
        </w:rPr>
        <w:lastRenderedPageBreak/>
        <w:drawing>
          <wp:inline distT="0" distB="0" distL="0" distR="0" wp14:anchorId="0CFF0FF9" wp14:editId="7280E604">
            <wp:extent cx="5728625" cy="2766060"/>
            <wp:effectExtent l="0" t="228600" r="5715" b="0"/>
            <wp:docPr id="1028116314" name="Diagrama 1">
              <a:extLst xmlns:a="http://schemas.openxmlformats.org/drawingml/2006/main">
                <a:ext uri="{FF2B5EF4-FFF2-40B4-BE49-F238E27FC236}">
                  <a16:creationId xmlns:a16="http://schemas.microsoft.com/office/drawing/2014/main" id="{D64A64BE-7C86-864E-A899-B83ACADE733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056020B" w14:textId="535BEA46" w:rsidR="003C1009" w:rsidRPr="00BF7B56" w:rsidRDefault="003C1009" w:rsidP="003C1009">
      <w:pPr>
        <w:jc w:val="both"/>
        <w:rPr>
          <w:rFonts w:ascii="Arial" w:hAnsi="Arial" w:cs="Arial"/>
          <w:sz w:val="18"/>
          <w:szCs w:val="18"/>
          <w:lang w:val="en-US"/>
        </w:rPr>
      </w:pPr>
      <w:r w:rsidRPr="00BF7B56">
        <w:rPr>
          <w:rFonts w:ascii="Arial" w:hAnsi="Arial" w:cs="Arial"/>
          <w:sz w:val="18"/>
          <w:szCs w:val="18"/>
          <w:lang w:val="en-US"/>
        </w:rPr>
        <w:t>Source: own elaboration</w:t>
      </w:r>
    </w:p>
    <w:p w14:paraId="17AB44C2" w14:textId="712B3A6B" w:rsidR="003B01D6" w:rsidRPr="00BF7B56" w:rsidRDefault="003B01D6" w:rsidP="00A27A2F">
      <w:pPr>
        <w:pStyle w:val="Subtitle"/>
        <w:numPr>
          <w:ilvl w:val="0"/>
          <w:numId w:val="0"/>
        </w:numPr>
        <w:rPr>
          <w:rFonts w:ascii="Arial" w:hAnsi="Arial" w:cs="Arial"/>
          <w:b/>
          <w:color w:val="auto"/>
          <w:sz w:val="24"/>
          <w:szCs w:val="24"/>
          <w:lang w:val="en-US"/>
        </w:rPr>
      </w:pPr>
      <w:r w:rsidRPr="00BF7B56">
        <w:rPr>
          <w:rFonts w:ascii="Arial" w:hAnsi="Arial" w:cs="Arial"/>
          <w:b/>
          <w:color w:val="auto"/>
          <w:sz w:val="24"/>
          <w:szCs w:val="24"/>
          <w:lang w:val="en-US"/>
        </w:rPr>
        <w:t xml:space="preserve">Policy approaches </w:t>
      </w:r>
    </w:p>
    <w:p w14:paraId="7B2D920B" w14:textId="486321E9" w:rsidR="003B01D6" w:rsidRPr="00BF7B56" w:rsidRDefault="003C1009" w:rsidP="003B01D6">
      <w:pPr>
        <w:jc w:val="both"/>
        <w:rPr>
          <w:rFonts w:ascii="Arial" w:hAnsi="Arial" w:cs="Arial"/>
          <w:lang w:val="en-US"/>
        </w:rPr>
      </w:pPr>
      <w:r w:rsidRPr="00BF7B56">
        <w:rPr>
          <w:rFonts w:ascii="Arial" w:hAnsi="Arial" w:cs="Arial"/>
          <w:lang w:val="en-US"/>
        </w:rPr>
        <w:t>The regulations and in general the public policy against the handling and use of gunpowder have focused on the prohibition and restriction of sale, but with the production authorized under the compliance with the technical requirements established in the regulations.</w:t>
      </w:r>
    </w:p>
    <w:p w14:paraId="37EE7645" w14:textId="7477CAA9" w:rsidR="003C1009" w:rsidRPr="00BF7B56" w:rsidRDefault="003C1009" w:rsidP="003B01D6">
      <w:pPr>
        <w:jc w:val="both"/>
        <w:rPr>
          <w:rFonts w:ascii="Arial" w:hAnsi="Arial" w:cs="Arial"/>
          <w:lang w:val="en-US"/>
        </w:rPr>
      </w:pPr>
      <w:r w:rsidRPr="00BF7B56">
        <w:rPr>
          <w:rFonts w:ascii="Arial" w:hAnsi="Arial" w:cs="Arial"/>
          <w:lang w:val="en-US"/>
        </w:rPr>
        <w:t xml:space="preserve">Regarding the use and handling, there are rules, controls and procedures for the use of gunpowder in public shows, under the responsibility of an organization that must comply with safety standards, contingency plans and verification by municipal authorities and fire departments. The sale of gunpowder for these purposes is not prohibited and, on the contrary, the local authorities promote and carry out public fireworks demonstrations during holiday seasons. </w:t>
      </w:r>
    </w:p>
    <w:p w14:paraId="376FF773" w14:textId="34AA3533" w:rsidR="003C1009" w:rsidRPr="00BF7B56" w:rsidRDefault="00B40958" w:rsidP="003B01D6">
      <w:pPr>
        <w:jc w:val="both"/>
        <w:rPr>
          <w:rFonts w:ascii="Arial" w:hAnsi="Arial" w:cs="Arial"/>
          <w:lang w:val="en-US"/>
        </w:rPr>
      </w:pPr>
      <w:r w:rsidRPr="00BF7B56">
        <w:rPr>
          <w:rFonts w:ascii="Arial" w:hAnsi="Arial" w:cs="Arial"/>
          <w:lang w:val="en-US"/>
        </w:rPr>
        <w:t xml:space="preserve">On the other hand, with regard to the private or private use of gunpowder, the regulatory effort has focused on prohibition, for which local authorities have the power to allow or not its use (especially at the end of the year season) and on scattered campaigns on the consequences of the use of gunpowder.  but contrary to what is evident in other countries, little or nothing is addressed about risk management, including the responsible handling of gunpowder by non-professionals. </w:t>
      </w:r>
    </w:p>
    <w:p w14:paraId="648E196A" w14:textId="7D5D244F" w:rsidR="003C1009" w:rsidRPr="00BF7B56" w:rsidRDefault="00B40958" w:rsidP="00A27A2F">
      <w:pPr>
        <w:pStyle w:val="Subtitle"/>
        <w:numPr>
          <w:ilvl w:val="0"/>
          <w:numId w:val="0"/>
        </w:numPr>
        <w:jc w:val="both"/>
        <w:rPr>
          <w:rFonts w:ascii="Arial" w:hAnsi="Arial" w:cs="Arial"/>
          <w:b/>
          <w:color w:val="auto"/>
          <w:sz w:val="24"/>
          <w:szCs w:val="24"/>
          <w:lang w:val="en-US"/>
        </w:rPr>
      </w:pPr>
      <w:r w:rsidRPr="00BF7B56">
        <w:rPr>
          <w:rFonts w:ascii="Arial" w:hAnsi="Arial" w:cs="Arial"/>
          <w:b/>
          <w:color w:val="auto"/>
          <w:sz w:val="24"/>
          <w:szCs w:val="24"/>
          <w:lang w:val="en-US"/>
        </w:rPr>
        <w:t xml:space="preserve">Challenges </w:t>
      </w:r>
    </w:p>
    <w:p w14:paraId="3ED1AE77" w14:textId="23F4130A" w:rsidR="003C1009" w:rsidRPr="00BF7B56" w:rsidRDefault="00B40958" w:rsidP="003B01D6">
      <w:pPr>
        <w:jc w:val="both"/>
        <w:rPr>
          <w:rFonts w:ascii="Arial" w:hAnsi="Arial" w:cs="Arial"/>
          <w:lang w:val="en-US"/>
        </w:rPr>
      </w:pPr>
      <w:r w:rsidRPr="00BF7B56">
        <w:rPr>
          <w:rFonts w:ascii="Arial" w:hAnsi="Arial" w:cs="Arial"/>
          <w:lang w:val="en-US"/>
        </w:rPr>
        <w:t xml:space="preserve">The heterogeneity in local regulations on gunpowder makes it difficult for the authorities to strictly control them, since gunpowder producers seek to establish themselves in those municipalities with less capacity and resources to control this activity, including fire departments that are poorly trained to issue safety concepts. Around the large urban centers of the country, it can be observed that the main cities such as Bogotá, Cali, Medellín, Barranquilla, among others, issue regulations to prohibit the sale and use of gunpowder, but not necessarily the mayors of the neighboring municipalities act in a coordinated manner, </w:t>
      </w:r>
      <w:r w:rsidRPr="00BF7B56">
        <w:rPr>
          <w:rFonts w:ascii="Arial" w:hAnsi="Arial" w:cs="Arial"/>
          <w:lang w:val="en-US"/>
        </w:rPr>
        <w:lastRenderedPageBreak/>
        <w:t xml:space="preserve">which allows sellers to locate themselves in these places and from there the gunpowder is distributed in these metropolises. </w:t>
      </w:r>
    </w:p>
    <w:p w14:paraId="784B1757" w14:textId="51DB596B" w:rsidR="00B40958" w:rsidRPr="00BF7B56" w:rsidRDefault="00B40958" w:rsidP="003B01D6">
      <w:pPr>
        <w:jc w:val="both"/>
        <w:rPr>
          <w:rFonts w:ascii="Arial" w:hAnsi="Arial" w:cs="Arial"/>
          <w:lang w:val="en-US"/>
        </w:rPr>
      </w:pPr>
      <w:r w:rsidRPr="00BF7B56">
        <w:rPr>
          <w:rFonts w:ascii="Arial" w:hAnsi="Arial" w:cs="Arial"/>
          <w:lang w:val="en-US"/>
        </w:rPr>
        <w:t xml:space="preserve">One of the main difficulties of the administrative function of the police in Colombia is the inability to enforce the prohibitions of what is prohibited; Although numerous regulations are issued that restrict behaviors and activities, in practice it is still "symbolic", since the reality is that people continue to carry out these activities, despite what is established in the regulations: "it is complied with, but it is not complied with". </w:t>
      </w:r>
    </w:p>
    <w:p w14:paraId="492BDCB6" w14:textId="648E4713" w:rsidR="00B40958" w:rsidRPr="00BF7B56" w:rsidRDefault="00B40958" w:rsidP="003B01D6">
      <w:pPr>
        <w:jc w:val="both"/>
        <w:rPr>
          <w:rFonts w:ascii="Arial" w:hAnsi="Arial" w:cs="Arial"/>
          <w:lang w:val="en-US"/>
        </w:rPr>
      </w:pPr>
      <w:r w:rsidRPr="00BF7B56">
        <w:rPr>
          <w:rFonts w:ascii="Arial" w:hAnsi="Arial" w:cs="Arial"/>
          <w:lang w:val="en-US"/>
        </w:rPr>
        <w:t>Likewise, when issuing the rules on the prohibition and control of gunpowder or any other activity, the "cost of prohibition" is not clear, it is clear that in Colombia the priority of the National Police is the issue of crime, and the issues of coexistence and citizen security in a broad sense, are relegated. Therefore, the measures of inspection and seizure of gunpowder are only applied at certain times of the year, since with the resources and current personnel of the police it is almost impossible to sustain this activity permanently throughout the year.</w:t>
      </w:r>
    </w:p>
    <w:p w14:paraId="5BE59EC8" w14:textId="397A8322" w:rsidR="00B40958" w:rsidRPr="00BF7B56" w:rsidRDefault="00B40958" w:rsidP="003B01D6">
      <w:pPr>
        <w:jc w:val="both"/>
        <w:rPr>
          <w:rFonts w:ascii="Arial" w:hAnsi="Arial" w:cs="Arial"/>
          <w:lang w:val="en-US"/>
        </w:rPr>
      </w:pPr>
      <w:r w:rsidRPr="00BF7B56">
        <w:rPr>
          <w:rFonts w:ascii="Arial" w:hAnsi="Arial" w:cs="Arial"/>
          <w:lang w:val="en-US"/>
        </w:rPr>
        <w:t xml:space="preserve">In addition to the above, the recently issued Decree 2174 of 2023 establishes technical, sanitary and security conditions and requirements for storage, which will make it difficult for territorial entities to comply with the obligation to have warehouses for the seized material, as provided for in article 2.2.4.2.13 of the aforementioned decree, which may discourage the seizure of this material due to the impossibility of the municipalities themselves to comply with said regulations, given the budgetary restrictions of most territorial entities, since about 93% of Colombia's municipalities are classified in fourth, fifth and sixth categories </w:t>
      </w:r>
      <w:r w:rsidR="009F27E7" w:rsidRPr="00947CAC">
        <w:rPr>
          <w:rFonts w:ascii="Arial" w:hAnsi="Arial" w:cs="Arial"/>
        </w:rPr>
        <w:fldChar w:fldCharType="begin"/>
      </w:r>
      <w:r w:rsidR="00C317D6" w:rsidRPr="00BF7B56">
        <w:rPr>
          <w:rFonts w:ascii="Arial" w:hAnsi="Arial" w:cs="Arial"/>
          <w:lang w:val="en-US"/>
        </w:rPr>
        <w:instrText xml:space="preserve"> ADDIN ZOTERO_ITEM CSL_CITATION {"citationID":"wQacXJqw","properties":{"formattedCitation":"(23)","plainCitation":"(23)","noteIndex":0},"citationItems":[{"id":"GFJYlw4W/3b3kIWKo","uris":["http://zotero.org/users/14292959/items/8JPAWCSM"],"itemData":{"id":1438,"type":"dataset","title":"Categorizacioón de municipios y departamentos","author":[{"literal":"Contaduría General de la Nación"}],"issued":{"date-parts":[["2024"]]}}}],"schema":"https://github.com/citation-style-language/schema/raw/master/csl-citation.json"} </w:instrText>
      </w:r>
      <w:r w:rsidR="009F27E7" w:rsidRPr="00947CAC">
        <w:rPr>
          <w:rFonts w:ascii="Arial" w:hAnsi="Arial" w:cs="Arial"/>
        </w:rPr>
        <w:fldChar w:fldCharType="separate"/>
      </w:r>
      <w:r w:rsidR="00AE4EA1" w:rsidRPr="00BF7B56">
        <w:rPr>
          <w:rFonts w:ascii="Arial" w:hAnsi="Arial" w:cs="Arial"/>
          <w:lang w:val="en-US"/>
        </w:rPr>
        <w:t>(23)</w:t>
      </w:r>
      <w:r w:rsidR="009F27E7" w:rsidRPr="00947CAC">
        <w:rPr>
          <w:rFonts w:ascii="Arial" w:hAnsi="Arial" w:cs="Arial"/>
        </w:rPr>
        <w:fldChar w:fldCharType="end"/>
      </w:r>
      <w:r w:rsidR="009F27E7" w:rsidRPr="00BF7B56">
        <w:rPr>
          <w:rFonts w:ascii="Arial" w:hAnsi="Arial" w:cs="Arial"/>
          <w:lang w:val="en-US"/>
        </w:rPr>
        <w:t>, which implies a significant dependence on the transfers of resources from the general budget of the nation, and the impossibility of assuming new commitments with own resources.</w:t>
      </w:r>
    </w:p>
    <w:p w14:paraId="3AA682EB" w14:textId="35B92012" w:rsidR="00CC11F6" w:rsidRPr="00BF7B56" w:rsidRDefault="00CC11F6" w:rsidP="00CC11F6">
      <w:pPr>
        <w:jc w:val="both"/>
        <w:rPr>
          <w:rFonts w:ascii="Arial" w:hAnsi="Arial" w:cs="Arial"/>
          <w:lang w:val="en-US"/>
        </w:rPr>
      </w:pPr>
      <w:r w:rsidRPr="00BF7B56">
        <w:rPr>
          <w:rFonts w:ascii="Arial" w:hAnsi="Arial" w:cs="Arial"/>
          <w:lang w:val="en-US"/>
        </w:rPr>
        <w:t xml:space="preserve">This makes it difficult to implement strong measures in the control of gunpowder, despite the fact that since Law 670 of 2001, mayors were empowered to create the </w:t>
      </w:r>
      <w:r w:rsidRPr="00BF7B56">
        <w:rPr>
          <w:rFonts w:ascii="Arial" w:hAnsi="Arial" w:cs="Arial"/>
          <w:i/>
          <w:lang w:val="en-US"/>
        </w:rPr>
        <w:t>municipal fund for the prevention of accidents generated by the improper handling and use of gunpowder, pyrotechnic articles and fireworks;</w:t>
      </w:r>
      <w:r w:rsidRPr="00BF7B56">
        <w:rPr>
          <w:rFonts w:ascii="Arial" w:hAnsi="Arial" w:cs="Arial"/>
          <w:lang w:val="en-US"/>
        </w:rPr>
        <w:t xml:space="preserve"> a fund that was to be financed with a percentage of the Industry and Commerce Tax, caused by companies linked to the gunpowder business. However, given the high informality in this sector, temporality and prohibitions of the activity, the resources to finance the activities determined in the aforementioned law are scarce or absent. </w:t>
      </w:r>
    </w:p>
    <w:p w14:paraId="174534D0" w14:textId="6CE80B82" w:rsidR="00C54AF1" w:rsidRPr="00BF7B56" w:rsidRDefault="00B614C1" w:rsidP="003B01D6">
      <w:pPr>
        <w:jc w:val="both"/>
        <w:rPr>
          <w:rFonts w:ascii="Arial" w:hAnsi="Arial" w:cs="Arial"/>
          <w:lang w:val="en-US"/>
        </w:rPr>
      </w:pPr>
      <w:r w:rsidRPr="00BF7B56">
        <w:rPr>
          <w:rFonts w:ascii="Arial" w:hAnsi="Arial" w:cs="Arial"/>
          <w:lang w:val="en-US"/>
        </w:rPr>
        <w:t xml:space="preserve">Law 2224 of 2022 contains measures aimed at pedagogy and risk management in the use of gunpowder, which may represent an opportunity to advance in strategies for the responsible use of gunpowder, for that classified as used by non-professional personnel. The prohibitionist approach, at least with the current regulatory framework, must be complemented with education for the safe and responsible use of gunpowder, indicating to adults what are the best practices for the storage and handling of gunpowder, recommended sites for its use, safety measures, types of devices and their consequences. </w:t>
      </w:r>
    </w:p>
    <w:p w14:paraId="67F898F9" w14:textId="6B9E2DEB" w:rsidR="0034588D" w:rsidRPr="00A27A2F" w:rsidRDefault="005043EC" w:rsidP="00FE7CDA">
      <w:pPr>
        <w:pStyle w:val="Subtitle"/>
        <w:numPr>
          <w:ilvl w:val="0"/>
          <w:numId w:val="10"/>
        </w:numPr>
        <w:rPr>
          <w:rFonts w:ascii="Arial" w:hAnsi="Arial" w:cs="Arial"/>
          <w:b/>
          <w:color w:val="auto"/>
          <w:sz w:val="24"/>
          <w:szCs w:val="24"/>
          <w:lang w:val="es-ES"/>
        </w:rPr>
      </w:pPr>
      <w:r w:rsidRPr="00A27A2F">
        <w:rPr>
          <w:rFonts w:ascii="Arial" w:hAnsi="Arial" w:cs="Arial"/>
          <w:b/>
          <w:color w:val="auto"/>
          <w:sz w:val="24"/>
          <w:szCs w:val="24"/>
        </w:rPr>
        <w:t>Powder sector</w:t>
      </w:r>
    </w:p>
    <w:p w14:paraId="788F5EF2" w14:textId="41F61FFB" w:rsidR="005043EC" w:rsidRPr="00BF7B56" w:rsidRDefault="005043EC" w:rsidP="00B81BBB">
      <w:pPr>
        <w:spacing w:line="240" w:lineRule="auto"/>
        <w:jc w:val="both"/>
        <w:rPr>
          <w:rFonts w:ascii="Arial" w:hAnsi="Arial" w:cs="Arial"/>
          <w:lang w:val="en-US"/>
        </w:rPr>
      </w:pPr>
      <w:r w:rsidRPr="00BF7B56">
        <w:rPr>
          <w:rFonts w:ascii="Arial" w:hAnsi="Arial" w:cs="Arial"/>
          <w:lang w:val="en-US"/>
        </w:rPr>
        <w:t>It is a sector that still maintains artisanal manufacturing practices, with an association called the National Federation of Pyrotechnicians – Fenalpi, where there is no information on the characterization of the companies.</w:t>
      </w:r>
    </w:p>
    <w:p w14:paraId="7D506F0F" w14:textId="320AA03E" w:rsidR="005043EC" w:rsidRPr="00BF7B56" w:rsidRDefault="00B81BBB" w:rsidP="0030747B">
      <w:pPr>
        <w:spacing w:line="240" w:lineRule="auto"/>
        <w:jc w:val="both"/>
        <w:rPr>
          <w:rFonts w:ascii="Arial" w:hAnsi="Arial" w:cs="Arial"/>
          <w:lang w:val="en-US"/>
        </w:rPr>
      </w:pPr>
      <w:r w:rsidRPr="00BF7B56">
        <w:rPr>
          <w:rFonts w:ascii="Arial" w:hAnsi="Arial" w:cs="Arial"/>
          <w:lang w:val="en-US"/>
        </w:rPr>
        <w:lastRenderedPageBreak/>
        <w:t xml:space="preserve">On the other hand, according to the International Standard Industrial Classification of all economic activities </w:t>
      </w:r>
      <w:r w:rsidRPr="00947CAC">
        <w:rPr>
          <w:rFonts w:ascii="Arial" w:hAnsi="Arial" w:cs="Arial"/>
        </w:rPr>
        <w:fldChar w:fldCharType="begin"/>
      </w:r>
      <w:r w:rsidR="00C317D6" w:rsidRPr="00BF7B56">
        <w:rPr>
          <w:rFonts w:ascii="Arial" w:hAnsi="Arial" w:cs="Arial"/>
          <w:lang w:val="en-US"/>
        </w:rPr>
        <w:instrText xml:space="preserve"> ADDIN ZOTERO_ITEM CSL_CITATION {"citationID":"PW50HPQv","properties":{"formattedCitation":"(24)","plainCitation":"(24)","noteIndex":0},"citationItems":[{"id":"GFJYlw4W/QG6eo4uM","uris":["http://zotero.org/users/14292959/items/PPHU2VJD"],"itemData":{"id":1442,"type":"standard","title":"Clasificación Industrial Internacional Uniforme de todas las actividades económicas - Revisión 4 Adaptada para Colombia CIIU Rev. 4 A.C. (2020)","URL":"https://www.dane.gov.co/files/sen/normas-y-estadares/CIIU_Rev_4_AC2020.pdf","author":[{"literal":"Departamento Nacional de Estadisticia"}],"issued":{"date-parts":[["2020"]]}}}],"schema":"https://github.com/citation-style-language/schema/raw/master/csl-citation.json"} </w:instrText>
      </w:r>
      <w:r w:rsidRPr="00947CAC">
        <w:rPr>
          <w:rFonts w:ascii="Arial" w:hAnsi="Arial" w:cs="Arial"/>
        </w:rPr>
        <w:fldChar w:fldCharType="separate"/>
      </w:r>
      <w:r w:rsidR="00AE4EA1" w:rsidRPr="00BF7B56">
        <w:rPr>
          <w:rFonts w:ascii="Arial" w:hAnsi="Arial" w:cs="Arial"/>
          <w:lang w:val="en-US"/>
        </w:rPr>
        <w:t>(24)</w:t>
      </w:r>
      <w:r w:rsidRPr="00947CAC">
        <w:rPr>
          <w:rFonts w:ascii="Arial" w:hAnsi="Arial" w:cs="Arial"/>
        </w:rPr>
        <w:fldChar w:fldCharType="end"/>
      </w:r>
      <w:r w:rsidRPr="00BF7B56">
        <w:rPr>
          <w:rFonts w:ascii="Arial" w:hAnsi="Arial" w:cs="Arial"/>
          <w:lang w:val="en-US"/>
        </w:rPr>
        <w:t>, the production of pyrotechnic gunpowder is located in the code "2029 Manufacture of other chemical products n.e.c.</w:t>
      </w:r>
      <w:r w:rsidRPr="00BF7B56">
        <w:rPr>
          <w:rFonts w:ascii="Arial" w:hAnsi="Arial" w:cs="Arial"/>
          <w:i/>
          <w:lang w:val="en-US"/>
        </w:rPr>
        <w:t>": The manufacture of fireworks, signal flares, signalling devices and other similar articles such as rockets, matches and matches".</w:t>
      </w:r>
      <w:r w:rsidRPr="00BF7B56">
        <w:rPr>
          <w:rFonts w:ascii="Arial" w:hAnsi="Arial" w:cs="Arial"/>
          <w:lang w:val="en-US"/>
        </w:rPr>
        <w:t xml:space="preserve"> In this order of ideas, when consulting the directory of companies available in the geoviewer of the National Administrative Department of Statistics (DANE), it is found that the aforementioned code includes companies that manufacture pyrotechnic articles, but also agrochemicals, industrial products, adhesives, rubbers, agricultural inputs and others, therefore among the 551 companies that appear on the list </w:t>
      </w:r>
      <w:r w:rsidR="0030747B" w:rsidRPr="00947CAC">
        <w:rPr>
          <w:rFonts w:ascii="Arial" w:hAnsi="Arial" w:cs="Arial"/>
        </w:rPr>
        <w:fldChar w:fldCharType="begin"/>
      </w:r>
      <w:r w:rsidR="00C317D6" w:rsidRPr="00BF7B56">
        <w:rPr>
          <w:rFonts w:ascii="Arial" w:hAnsi="Arial" w:cs="Arial"/>
          <w:lang w:val="en-US"/>
        </w:rPr>
        <w:instrText xml:space="preserve"> ADDIN ZOTERO_ITEM CSL_CITATION {"citationID":"xoc9QtT4","properties":{"formattedCitation":"(25)","plainCitation":"(25)","noteIndex":0},"citationItems":[{"id":"GFJYlw4W/1xuuUlRz","uris":["http://zotero.org/users/14292959/items/2ZQ4MLAQ"],"itemData":{"id":1441,"type":"standard","event-place":"Bogotá, D. C., Colombia","publisher-place":"Bogotá, D. C., Colombia","title":"Geovisor Directorio de Empresas 2022-II","URL":"https://geoportal.dane.gov.co/geovisores/economia/directorio-estadistico-de-empresas/","author":[{"literal":"Departamento Nacional de Estadisticia"}],"accessed":{"date-parts":[["2024",6,5]]},"issued":{"date-parts":[["2022"]]}}}],"schema":"https://github.com/citation-style-language/schema/raw/master/csl-citation.json"} </w:instrText>
      </w:r>
      <w:r w:rsidR="0030747B" w:rsidRPr="00947CAC">
        <w:rPr>
          <w:rFonts w:ascii="Arial" w:hAnsi="Arial" w:cs="Arial"/>
        </w:rPr>
        <w:fldChar w:fldCharType="separate"/>
      </w:r>
      <w:r w:rsidR="00AE4EA1" w:rsidRPr="00BF7B56">
        <w:rPr>
          <w:rFonts w:ascii="Arial" w:hAnsi="Arial" w:cs="Arial"/>
          <w:lang w:val="en-US"/>
        </w:rPr>
        <w:t>(25)</w:t>
      </w:r>
      <w:r w:rsidR="0030747B" w:rsidRPr="00947CAC">
        <w:rPr>
          <w:rFonts w:ascii="Arial" w:hAnsi="Arial" w:cs="Arial"/>
        </w:rPr>
        <w:fldChar w:fldCharType="end"/>
      </w:r>
      <w:r w:rsidR="0030747B" w:rsidRPr="00BF7B56">
        <w:rPr>
          <w:rFonts w:ascii="Arial" w:hAnsi="Arial" w:cs="Arial"/>
          <w:lang w:val="en-US"/>
        </w:rPr>
        <w:t xml:space="preserve">, it cannot be discriminated which one is dedicated to the subject of gunpowder. </w:t>
      </w:r>
    </w:p>
    <w:p w14:paraId="2B9D3D71" w14:textId="4F3ADAE1" w:rsidR="00CA51F8" w:rsidRPr="00BF7B56" w:rsidRDefault="00E86E6E" w:rsidP="00CA51F8">
      <w:pPr>
        <w:jc w:val="both"/>
        <w:rPr>
          <w:rFonts w:ascii="Arial" w:hAnsi="Arial" w:cs="Arial"/>
          <w:lang w:val="en-US"/>
        </w:rPr>
      </w:pPr>
      <w:r w:rsidRPr="00BF7B56">
        <w:rPr>
          <w:rFonts w:ascii="Arial" w:hAnsi="Arial" w:cs="Arial"/>
          <w:lang w:val="en-US"/>
        </w:rPr>
        <w:t xml:space="preserve">On the other hand, with regard to production, information was found on exports and imports of gunpowder in the country. According to the International Trade Centre </w:t>
      </w:r>
      <w:r w:rsidR="00CA51F8" w:rsidRPr="00947CAC">
        <w:rPr>
          <w:rFonts w:ascii="Arial" w:hAnsi="Arial" w:cs="Arial"/>
        </w:rPr>
        <w:fldChar w:fldCharType="begin"/>
      </w:r>
      <w:r w:rsidR="00C317D6" w:rsidRPr="00BF7B56">
        <w:rPr>
          <w:rFonts w:ascii="Arial" w:hAnsi="Arial" w:cs="Arial"/>
          <w:lang w:val="en-US"/>
        </w:rPr>
        <w:instrText xml:space="preserve"> ADDIN ZOTERO_ITEM CSL_CITATION {"citationID":"UCEjDAU0","properties":{"formattedCitation":"(26)","plainCitation":"(26)","noteIndex":0},"citationItems":[{"id":"GFJYlw4W/F8ajBHb9","uris":["http://zotero.org/users/14292959/items/RL6YXVFY"],"itemData":{"id":1443,"type":"standard","title":"Estadísticas del comercio para el desarrollo internacional de las empresas - Comercio bilateral entre Colombia y Colombia Producto: 36 Pólvora y explosivos; artículos de pirotecnia; fósforos (cerillas); aleaciones pirofóricas","author":[{"literal":"Centro de Comercio Internacional (ITC)"}],"issued":{"date-parts":[["2024"]]}}}],"schema":"https://github.com/citation-style-language/schema/raw/master/csl-citation.json"} </w:instrText>
      </w:r>
      <w:r w:rsidR="00CA51F8" w:rsidRPr="00947CAC">
        <w:rPr>
          <w:rFonts w:ascii="Arial" w:hAnsi="Arial" w:cs="Arial"/>
        </w:rPr>
        <w:fldChar w:fldCharType="separate"/>
      </w:r>
      <w:r w:rsidR="00AE4EA1" w:rsidRPr="00BF7B56">
        <w:rPr>
          <w:rFonts w:ascii="Arial" w:hAnsi="Arial" w:cs="Arial"/>
          <w:lang w:val="en-US"/>
        </w:rPr>
        <w:t>(26)</w:t>
      </w:r>
      <w:r w:rsidR="00CA51F8" w:rsidRPr="00947CAC">
        <w:rPr>
          <w:rFonts w:ascii="Arial" w:hAnsi="Arial" w:cs="Arial"/>
        </w:rPr>
        <w:fldChar w:fldCharType="end"/>
      </w:r>
      <w:r w:rsidR="006352AD" w:rsidRPr="00BF7B56">
        <w:rPr>
          <w:rFonts w:ascii="Arial" w:hAnsi="Arial" w:cs="Arial"/>
          <w:lang w:val="en-US"/>
        </w:rPr>
        <w:t>, the country has imported an average of 1,470 tons of pyrotechnic articles in the period 2019-2023, with an upward trend since 2021; With respect to exports, 13 tons were registered in 2019 and one in 2023.</w:t>
      </w:r>
    </w:p>
    <w:p w14:paraId="4752895C" w14:textId="2B0C6E5A" w:rsidR="00CA51F8" w:rsidRPr="00BF7B56" w:rsidRDefault="00CA51F8" w:rsidP="00DB4F18">
      <w:pPr>
        <w:pStyle w:val="Caption"/>
        <w:jc w:val="center"/>
        <w:rPr>
          <w:rFonts w:ascii="Arial" w:hAnsi="Arial" w:cs="Arial"/>
          <w:i w:val="0"/>
          <w:iCs w:val="0"/>
          <w:sz w:val="20"/>
          <w:szCs w:val="20"/>
          <w:lang w:val="en-US"/>
        </w:rPr>
      </w:pPr>
      <w:r w:rsidRPr="00BF7B56">
        <w:rPr>
          <w:rFonts w:ascii="Arial" w:hAnsi="Arial" w:cs="Arial"/>
          <w:b/>
          <w:bCs/>
          <w:i w:val="0"/>
          <w:iCs w:val="0"/>
          <w:sz w:val="20"/>
          <w:szCs w:val="20"/>
          <w:lang w:val="en-US"/>
        </w:rPr>
        <w:t xml:space="preserve">Board </w:t>
      </w:r>
      <w:r w:rsidRPr="005537D7">
        <w:rPr>
          <w:rFonts w:ascii="Arial" w:hAnsi="Arial" w:cs="Arial"/>
          <w:b/>
          <w:bCs/>
          <w:i w:val="0"/>
          <w:iCs w:val="0"/>
          <w:sz w:val="20"/>
          <w:szCs w:val="20"/>
        </w:rPr>
        <w:fldChar w:fldCharType="begin"/>
      </w:r>
      <w:r w:rsidRPr="00BF7B56">
        <w:rPr>
          <w:rFonts w:ascii="Arial" w:hAnsi="Arial" w:cs="Arial"/>
          <w:sz w:val="16"/>
          <w:szCs w:val="16"/>
          <w:lang w:val="en-US"/>
        </w:rPr>
        <w:instrText xml:space="preserve"> SEQ Tabla \* ARABIC </w:instrText>
      </w:r>
      <w:r w:rsidRPr="005537D7">
        <w:rPr>
          <w:rFonts w:ascii="Arial" w:hAnsi="Arial" w:cs="Arial"/>
          <w:b/>
          <w:bCs/>
          <w:i w:val="0"/>
          <w:iCs w:val="0"/>
          <w:sz w:val="20"/>
          <w:szCs w:val="20"/>
        </w:rPr>
        <w:fldChar w:fldCharType="separate"/>
      </w:r>
      <w:r w:rsidR="005537D7" w:rsidRPr="00BF7B56">
        <w:rPr>
          <w:rFonts w:ascii="Arial" w:hAnsi="Arial" w:cs="Arial"/>
          <w:b/>
          <w:bCs/>
          <w:i w:val="0"/>
          <w:iCs w:val="0"/>
          <w:noProof/>
          <w:sz w:val="20"/>
          <w:szCs w:val="20"/>
          <w:lang w:val="en-US"/>
        </w:rPr>
        <w:t>2</w:t>
      </w:r>
      <w:r w:rsidRPr="005537D7">
        <w:rPr>
          <w:rFonts w:ascii="Arial" w:hAnsi="Arial" w:cs="Arial"/>
          <w:b/>
          <w:bCs/>
          <w:i w:val="0"/>
          <w:iCs w:val="0"/>
          <w:sz w:val="20"/>
          <w:szCs w:val="20"/>
        </w:rPr>
        <w:fldChar w:fldCharType="end"/>
      </w:r>
      <w:r w:rsidRPr="00BF7B56">
        <w:rPr>
          <w:rFonts w:ascii="Arial" w:hAnsi="Arial" w:cs="Arial"/>
          <w:b/>
          <w:bCs/>
          <w:i w:val="0"/>
          <w:iCs w:val="0"/>
          <w:sz w:val="20"/>
          <w:szCs w:val="20"/>
          <w:lang w:val="en-US"/>
        </w:rPr>
        <w:t>.</w:t>
      </w:r>
      <w:r w:rsidRPr="00BF7B56">
        <w:rPr>
          <w:rFonts w:ascii="Arial" w:hAnsi="Arial" w:cs="Arial"/>
          <w:i w:val="0"/>
          <w:iCs w:val="0"/>
          <w:sz w:val="20"/>
          <w:szCs w:val="20"/>
          <w:lang w:val="en-US"/>
        </w:rPr>
        <w:t xml:space="preserve"> Gunpowder imports from Colombia period 2019-2023</w:t>
      </w:r>
    </w:p>
    <w:tbl>
      <w:tblPr>
        <w:tblW w:w="5000" w:type="pct"/>
        <w:tblCellMar>
          <w:left w:w="70" w:type="dxa"/>
          <w:right w:w="70" w:type="dxa"/>
        </w:tblCellMar>
        <w:tblLook w:val="04A0" w:firstRow="1" w:lastRow="0" w:firstColumn="1" w:lastColumn="0" w:noHBand="0" w:noVBand="1"/>
      </w:tblPr>
      <w:tblGrid>
        <w:gridCol w:w="1107"/>
        <w:gridCol w:w="747"/>
        <w:gridCol w:w="799"/>
        <w:gridCol w:w="747"/>
        <w:gridCol w:w="799"/>
        <w:gridCol w:w="747"/>
        <w:gridCol w:w="799"/>
        <w:gridCol w:w="747"/>
        <w:gridCol w:w="799"/>
        <w:gridCol w:w="747"/>
        <w:gridCol w:w="795"/>
      </w:tblGrid>
      <w:tr w:rsidR="00CA51F8" w:rsidRPr="00BF7B56" w14:paraId="70146C44" w14:textId="77777777" w:rsidTr="00CA51F8">
        <w:trPr>
          <w:trHeight w:val="300"/>
        </w:trPr>
        <w:tc>
          <w:tcPr>
            <w:tcW w:w="627" w:type="pct"/>
            <w:vMerge w:val="restart"/>
            <w:tcBorders>
              <w:top w:val="single" w:sz="4" w:space="0" w:color="002B54"/>
              <w:left w:val="single" w:sz="4" w:space="0" w:color="000000"/>
              <w:bottom w:val="single" w:sz="4" w:space="0" w:color="000000"/>
              <w:right w:val="single" w:sz="4" w:space="0" w:color="000000"/>
            </w:tcBorders>
            <w:shd w:val="clear" w:color="000000" w:fill="5D7B9D"/>
            <w:vAlign w:val="center"/>
            <w:hideMark/>
          </w:tcPr>
          <w:p w14:paraId="5863DBCC"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Product Description</w:t>
            </w:r>
          </w:p>
        </w:tc>
        <w:tc>
          <w:tcPr>
            <w:tcW w:w="4373" w:type="pct"/>
            <w:gridSpan w:val="10"/>
            <w:tcBorders>
              <w:top w:val="single" w:sz="4" w:space="0" w:color="002B54"/>
              <w:left w:val="nil"/>
              <w:bottom w:val="single" w:sz="4" w:space="0" w:color="000000"/>
              <w:right w:val="nil"/>
            </w:tcBorders>
            <w:shd w:val="clear" w:color="000000" w:fill="5D7B9D"/>
            <w:vAlign w:val="bottom"/>
            <w:hideMark/>
          </w:tcPr>
          <w:p w14:paraId="09F3FBED" w14:textId="77777777" w:rsidR="00CA51F8" w:rsidRPr="00BF7B56" w:rsidRDefault="00CA51F8" w:rsidP="00CA51F8">
            <w:pPr>
              <w:spacing w:after="0" w:line="240" w:lineRule="auto"/>
              <w:jc w:val="center"/>
              <w:rPr>
                <w:rFonts w:ascii="Arial" w:eastAsia="Times New Roman" w:hAnsi="Arial" w:cs="Arial"/>
                <w:b/>
                <w:color w:val="FFFFFF"/>
                <w:kern w:val="0"/>
                <w:sz w:val="14"/>
                <w:szCs w:val="14"/>
                <w:lang w:val="en-US" w:eastAsia="es-CO"/>
              </w:rPr>
            </w:pPr>
            <w:r w:rsidRPr="00BF7B56">
              <w:rPr>
                <w:rFonts w:ascii="Arial" w:eastAsia="Times New Roman" w:hAnsi="Arial" w:cs="Arial"/>
                <w:b/>
                <w:color w:val="FFFFFF"/>
                <w:kern w:val="0"/>
                <w:sz w:val="14"/>
                <w:szCs w:val="14"/>
                <w:lang w:val="en-US" w:eastAsia="es-CO"/>
              </w:rPr>
              <w:t>Colombia imports from the world</w:t>
            </w:r>
          </w:p>
        </w:tc>
      </w:tr>
      <w:tr w:rsidR="00CA51F8" w:rsidRPr="00A60600" w14:paraId="5B965796" w14:textId="77777777" w:rsidTr="00A27A2F">
        <w:trPr>
          <w:trHeight w:val="300"/>
        </w:trPr>
        <w:tc>
          <w:tcPr>
            <w:tcW w:w="627" w:type="pct"/>
            <w:vMerge/>
            <w:tcBorders>
              <w:top w:val="single" w:sz="4" w:space="0" w:color="002B54"/>
              <w:left w:val="single" w:sz="4" w:space="0" w:color="000000"/>
              <w:bottom w:val="single" w:sz="4" w:space="0" w:color="000000"/>
              <w:right w:val="single" w:sz="4" w:space="0" w:color="000000"/>
            </w:tcBorders>
            <w:vAlign w:val="center"/>
            <w:hideMark/>
          </w:tcPr>
          <w:p w14:paraId="5A8A5D3E" w14:textId="77777777" w:rsidR="00CA51F8" w:rsidRPr="00BF7B56" w:rsidRDefault="00CA51F8" w:rsidP="00CA51F8">
            <w:pPr>
              <w:spacing w:after="0" w:line="240" w:lineRule="auto"/>
              <w:rPr>
                <w:rFonts w:ascii="Arial" w:eastAsia="Times New Roman" w:hAnsi="Arial" w:cs="Arial"/>
                <w:b/>
                <w:color w:val="FFFFFF"/>
                <w:kern w:val="0"/>
                <w:sz w:val="14"/>
                <w:szCs w:val="14"/>
                <w:lang w:val="en-US" w:eastAsia="es-CO"/>
              </w:rPr>
            </w:pPr>
          </w:p>
        </w:tc>
        <w:tc>
          <w:tcPr>
            <w:tcW w:w="423" w:type="pct"/>
            <w:tcBorders>
              <w:top w:val="nil"/>
              <w:left w:val="nil"/>
              <w:bottom w:val="single" w:sz="4" w:space="0" w:color="000000"/>
              <w:right w:val="single" w:sz="4" w:space="0" w:color="000000"/>
            </w:tcBorders>
            <w:shd w:val="clear" w:color="000000" w:fill="5D7B9D"/>
            <w:vAlign w:val="center"/>
            <w:hideMark/>
          </w:tcPr>
          <w:p w14:paraId="09280D23"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Amount in 2019</w:t>
            </w:r>
          </w:p>
        </w:tc>
        <w:tc>
          <w:tcPr>
            <w:tcW w:w="452" w:type="pct"/>
            <w:tcBorders>
              <w:top w:val="nil"/>
              <w:left w:val="nil"/>
              <w:bottom w:val="single" w:sz="4" w:space="0" w:color="000000"/>
              <w:right w:val="single" w:sz="4" w:space="0" w:color="000000"/>
            </w:tcBorders>
            <w:shd w:val="clear" w:color="000000" w:fill="5D7B9D"/>
            <w:vAlign w:val="center"/>
            <w:hideMark/>
          </w:tcPr>
          <w:p w14:paraId="608CA39F"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Unit</w:t>
            </w:r>
          </w:p>
        </w:tc>
        <w:tc>
          <w:tcPr>
            <w:tcW w:w="423" w:type="pct"/>
            <w:tcBorders>
              <w:top w:val="nil"/>
              <w:left w:val="nil"/>
              <w:bottom w:val="single" w:sz="4" w:space="0" w:color="000000"/>
              <w:right w:val="single" w:sz="4" w:space="0" w:color="000000"/>
            </w:tcBorders>
            <w:shd w:val="clear" w:color="000000" w:fill="5D7B9D"/>
            <w:vAlign w:val="center"/>
            <w:hideMark/>
          </w:tcPr>
          <w:p w14:paraId="0E6DF58A"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Amount in 2020</w:t>
            </w:r>
          </w:p>
        </w:tc>
        <w:tc>
          <w:tcPr>
            <w:tcW w:w="452" w:type="pct"/>
            <w:tcBorders>
              <w:top w:val="nil"/>
              <w:left w:val="nil"/>
              <w:bottom w:val="single" w:sz="4" w:space="0" w:color="000000"/>
              <w:right w:val="single" w:sz="4" w:space="0" w:color="000000"/>
            </w:tcBorders>
            <w:shd w:val="clear" w:color="000000" w:fill="5D7B9D"/>
            <w:vAlign w:val="center"/>
            <w:hideMark/>
          </w:tcPr>
          <w:p w14:paraId="2B715C64"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Unit</w:t>
            </w:r>
          </w:p>
        </w:tc>
        <w:tc>
          <w:tcPr>
            <w:tcW w:w="423" w:type="pct"/>
            <w:tcBorders>
              <w:top w:val="nil"/>
              <w:left w:val="nil"/>
              <w:bottom w:val="single" w:sz="4" w:space="0" w:color="000000"/>
              <w:right w:val="single" w:sz="4" w:space="0" w:color="000000"/>
            </w:tcBorders>
            <w:shd w:val="clear" w:color="000000" w:fill="5D7B9D"/>
            <w:vAlign w:val="center"/>
            <w:hideMark/>
          </w:tcPr>
          <w:p w14:paraId="36F23714"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Amount in 2021</w:t>
            </w:r>
          </w:p>
        </w:tc>
        <w:tc>
          <w:tcPr>
            <w:tcW w:w="452" w:type="pct"/>
            <w:tcBorders>
              <w:top w:val="nil"/>
              <w:left w:val="nil"/>
              <w:bottom w:val="single" w:sz="4" w:space="0" w:color="000000"/>
              <w:right w:val="single" w:sz="4" w:space="0" w:color="000000"/>
            </w:tcBorders>
            <w:shd w:val="clear" w:color="000000" w:fill="5D7B9D"/>
            <w:vAlign w:val="center"/>
            <w:hideMark/>
          </w:tcPr>
          <w:p w14:paraId="0537D070"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Unit</w:t>
            </w:r>
          </w:p>
        </w:tc>
        <w:tc>
          <w:tcPr>
            <w:tcW w:w="423" w:type="pct"/>
            <w:tcBorders>
              <w:top w:val="nil"/>
              <w:left w:val="nil"/>
              <w:bottom w:val="single" w:sz="4" w:space="0" w:color="000000"/>
              <w:right w:val="single" w:sz="4" w:space="0" w:color="000000"/>
            </w:tcBorders>
            <w:shd w:val="clear" w:color="000000" w:fill="5D7B9D"/>
            <w:vAlign w:val="center"/>
            <w:hideMark/>
          </w:tcPr>
          <w:p w14:paraId="494407D1"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Amount in 2022</w:t>
            </w:r>
          </w:p>
        </w:tc>
        <w:tc>
          <w:tcPr>
            <w:tcW w:w="452" w:type="pct"/>
            <w:tcBorders>
              <w:top w:val="nil"/>
              <w:left w:val="nil"/>
              <w:bottom w:val="single" w:sz="4" w:space="0" w:color="000000"/>
              <w:right w:val="single" w:sz="4" w:space="0" w:color="000000"/>
            </w:tcBorders>
            <w:shd w:val="clear" w:color="000000" w:fill="5D7B9D"/>
            <w:vAlign w:val="center"/>
            <w:hideMark/>
          </w:tcPr>
          <w:p w14:paraId="51ECC06E"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Unit</w:t>
            </w:r>
          </w:p>
        </w:tc>
        <w:tc>
          <w:tcPr>
            <w:tcW w:w="423" w:type="pct"/>
            <w:tcBorders>
              <w:top w:val="nil"/>
              <w:left w:val="nil"/>
              <w:bottom w:val="single" w:sz="4" w:space="0" w:color="000000"/>
              <w:right w:val="single" w:sz="4" w:space="0" w:color="000000"/>
            </w:tcBorders>
            <w:shd w:val="clear" w:color="000000" w:fill="5D7B9D"/>
            <w:vAlign w:val="center"/>
            <w:hideMark/>
          </w:tcPr>
          <w:p w14:paraId="029F1E32"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Amount in 2023</w:t>
            </w:r>
          </w:p>
        </w:tc>
        <w:tc>
          <w:tcPr>
            <w:tcW w:w="450" w:type="pct"/>
            <w:tcBorders>
              <w:top w:val="nil"/>
              <w:left w:val="nil"/>
              <w:bottom w:val="single" w:sz="4" w:space="0" w:color="000000"/>
              <w:right w:val="single" w:sz="4" w:space="0" w:color="000000"/>
            </w:tcBorders>
            <w:shd w:val="clear" w:color="000000" w:fill="5D7B9D"/>
            <w:vAlign w:val="center"/>
            <w:hideMark/>
          </w:tcPr>
          <w:p w14:paraId="2D561CA9" w14:textId="77777777" w:rsidR="00CA51F8" w:rsidRPr="00947CAC" w:rsidRDefault="00CA51F8" w:rsidP="00CA51F8">
            <w:pPr>
              <w:spacing w:after="0" w:line="240" w:lineRule="auto"/>
              <w:jc w:val="center"/>
              <w:rPr>
                <w:rFonts w:ascii="Arial" w:eastAsia="Times New Roman" w:hAnsi="Arial" w:cs="Arial"/>
                <w:b/>
                <w:color w:val="FFFFFF"/>
                <w:kern w:val="0"/>
                <w:sz w:val="14"/>
                <w:szCs w:val="14"/>
                <w:lang w:eastAsia="es-CO"/>
              </w:rPr>
            </w:pPr>
            <w:r w:rsidRPr="00947CAC">
              <w:rPr>
                <w:rFonts w:ascii="Arial" w:eastAsia="Times New Roman" w:hAnsi="Arial" w:cs="Arial"/>
                <w:b/>
                <w:color w:val="FFFFFF"/>
                <w:kern w:val="0"/>
                <w:sz w:val="14"/>
                <w:szCs w:val="14"/>
                <w:lang w:eastAsia="es-CO"/>
              </w:rPr>
              <w:t>Unit</w:t>
            </w:r>
          </w:p>
        </w:tc>
      </w:tr>
      <w:tr w:rsidR="00CA51F8" w:rsidRPr="00A60600" w14:paraId="0236B0D6" w14:textId="77777777" w:rsidTr="00A27A2F">
        <w:trPr>
          <w:trHeight w:val="465"/>
        </w:trPr>
        <w:tc>
          <w:tcPr>
            <w:tcW w:w="627" w:type="pct"/>
            <w:tcBorders>
              <w:top w:val="nil"/>
              <w:left w:val="single" w:sz="4" w:space="0" w:color="000000"/>
              <w:bottom w:val="single" w:sz="4" w:space="0" w:color="000000"/>
              <w:right w:val="single" w:sz="4" w:space="0" w:color="000000"/>
            </w:tcBorders>
            <w:shd w:val="clear" w:color="000000" w:fill="FFFFFF"/>
            <w:vAlign w:val="center"/>
            <w:hideMark/>
          </w:tcPr>
          <w:p w14:paraId="31AAFE51" w14:textId="36583BCB" w:rsidR="00CA51F8" w:rsidRPr="00BF7B56" w:rsidRDefault="00CA51F8" w:rsidP="00CA51F8">
            <w:pPr>
              <w:spacing w:after="0" w:line="240" w:lineRule="auto"/>
              <w:jc w:val="center"/>
              <w:rPr>
                <w:rFonts w:ascii="Arial" w:eastAsia="Times New Roman" w:hAnsi="Arial" w:cs="Arial"/>
                <w:kern w:val="0"/>
                <w:sz w:val="14"/>
                <w:szCs w:val="14"/>
                <w:lang w:val="en-US" w:eastAsia="es-CO"/>
              </w:rPr>
            </w:pPr>
            <w:r w:rsidRPr="00BF7B56">
              <w:rPr>
                <w:rFonts w:ascii="Arial" w:eastAsia="Times New Roman" w:hAnsi="Arial" w:cs="Arial"/>
                <w:kern w:val="0"/>
                <w:sz w:val="14"/>
                <w:szCs w:val="14"/>
                <w:lang w:val="en-US" w:eastAsia="es-CO"/>
              </w:rPr>
              <w:t xml:space="preserve">Articles for fireworks, signal rockets or granifugues and the like, firecrackers and other ... </w:t>
            </w:r>
          </w:p>
        </w:tc>
        <w:tc>
          <w:tcPr>
            <w:tcW w:w="423" w:type="pct"/>
            <w:tcBorders>
              <w:top w:val="nil"/>
              <w:left w:val="nil"/>
              <w:bottom w:val="single" w:sz="4" w:space="0" w:color="000000"/>
              <w:right w:val="single" w:sz="4" w:space="0" w:color="000000"/>
            </w:tcBorders>
            <w:shd w:val="clear" w:color="000000" w:fill="FFFFFF"/>
            <w:vAlign w:val="center"/>
            <w:hideMark/>
          </w:tcPr>
          <w:p w14:paraId="07EB47B0" w14:textId="07D98323"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1.161</w:t>
            </w:r>
          </w:p>
        </w:tc>
        <w:tc>
          <w:tcPr>
            <w:tcW w:w="452" w:type="pct"/>
            <w:tcBorders>
              <w:top w:val="nil"/>
              <w:left w:val="nil"/>
              <w:bottom w:val="single" w:sz="4" w:space="0" w:color="000000"/>
              <w:right w:val="single" w:sz="4" w:space="0" w:color="000000"/>
            </w:tcBorders>
            <w:shd w:val="clear" w:color="000000" w:fill="FFFFFF"/>
            <w:vAlign w:val="center"/>
            <w:hideMark/>
          </w:tcPr>
          <w:p w14:paraId="6829F1BE" w14:textId="77777777"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Tons</w:t>
            </w:r>
          </w:p>
        </w:tc>
        <w:tc>
          <w:tcPr>
            <w:tcW w:w="423" w:type="pct"/>
            <w:tcBorders>
              <w:top w:val="nil"/>
              <w:left w:val="nil"/>
              <w:bottom w:val="single" w:sz="4" w:space="0" w:color="000000"/>
              <w:right w:val="single" w:sz="4" w:space="0" w:color="000000"/>
            </w:tcBorders>
            <w:shd w:val="clear" w:color="000000" w:fill="FFFFFF"/>
            <w:vAlign w:val="center"/>
            <w:hideMark/>
          </w:tcPr>
          <w:p w14:paraId="2C2BF8D1" w14:textId="3E888E49"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1.104</w:t>
            </w:r>
          </w:p>
        </w:tc>
        <w:tc>
          <w:tcPr>
            <w:tcW w:w="452" w:type="pct"/>
            <w:tcBorders>
              <w:top w:val="nil"/>
              <w:left w:val="nil"/>
              <w:bottom w:val="single" w:sz="4" w:space="0" w:color="000000"/>
              <w:right w:val="single" w:sz="4" w:space="0" w:color="000000"/>
            </w:tcBorders>
            <w:shd w:val="clear" w:color="000000" w:fill="FFFFFF"/>
            <w:vAlign w:val="center"/>
            <w:hideMark/>
          </w:tcPr>
          <w:p w14:paraId="2DF527E5" w14:textId="77777777"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Tons</w:t>
            </w:r>
          </w:p>
        </w:tc>
        <w:tc>
          <w:tcPr>
            <w:tcW w:w="423" w:type="pct"/>
            <w:tcBorders>
              <w:top w:val="nil"/>
              <w:left w:val="nil"/>
              <w:bottom w:val="single" w:sz="4" w:space="0" w:color="000000"/>
              <w:right w:val="single" w:sz="4" w:space="0" w:color="000000"/>
            </w:tcBorders>
            <w:shd w:val="clear" w:color="000000" w:fill="FFFFFF"/>
            <w:vAlign w:val="center"/>
            <w:hideMark/>
          </w:tcPr>
          <w:p w14:paraId="310837FC" w14:textId="77777777"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1131</w:t>
            </w:r>
          </w:p>
        </w:tc>
        <w:tc>
          <w:tcPr>
            <w:tcW w:w="452" w:type="pct"/>
            <w:tcBorders>
              <w:top w:val="nil"/>
              <w:left w:val="nil"/>
              <w:bottom w:val="single" w:sz="4" w:space="0" w:color="000000"/>
              <w:right w:val="single" w:sz="4" w:space="0" w:color="000000"/>
            </w:tcBorders>
            <w:shd w:val="clear" w:color="000000" w:fill="FFFFFF"/>
            <w:vAlign w:val="center"/>
            <w:hideMark/>
          </w:tcPr>
          <w:p w14:paraId="23589671" w14:textId="77777777"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Tons</w:t>
            </w:r>
          </w:p>
        </w:tc>
        <w:tc>
          <w:tcPr>
            <w:tcW w:w="423" w:type="pct"/>
            <w:tcBorders>
              <w:top w:val="nil"/>
              <w:left w:val="nil"/>
              <w:bottom w:val="single" w:sz="4" w:space="0" w:color="000000"/>
              <w:right w:val="single" w:sz="4" w:space="0" w:color="000000"/>
            </w:tcBorders>
            <w:shd w:val="clear" w:color="000000" w:fill="FFFFFF"/>
            <w:vAlign w:val="center"/>
            <w:hideMark/>
          </w:tcPr>
          <w:p w14:paraId="18902300" w14:textId="17C765AE"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1.844</w:t>
            </w:r>
          </w:p>
        </w:tc>
        <w:tc>
          <w:tcPr>
            <w:tcW w:w="452" w:type="pct"/>
            <w:tcBorders>
              <w:top w:val="nil"/>
              <w:left w:val="nil"/>
              <w:bottom w:val="single" w:sz="4" w:space="0" w:color="000000"/>
              <w:right w:val="single" w:sz="4" w:space="0" w:color="000000"/>
            </w:tcBorders>
            <w:shd w:val="clear" w:color="000000" w:fill="FFFFFF"/>
            <w:vAlign w:val="center"/>
            <w:hideMark/>
          </w:tcPr>
          <w:p w14:paraId="6C9B8872" w14:textId="77777777"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Tons</w:t>
            </w:r>
          </w:p>
        </w:tc>
        <w:tc>
          <w:tcPr>
            <w:tcW w:w="423" w:type="pct"/>
            <w:tcBorders>
              <w:top w:val="nil"/>
              <w:left w:val="nil"/>
              <w:bottom w:val="single" w:sz="4" w:space="0" w:color="000000"/>
              <w:right w:val="single" w:sz="4" w:space="0" w:color="000000"/>
            </w:tcBorders>
            <w:shd w:val="clear" w:color="000000" w:fill="FFFFFF"/>
            <w:vAlign w:val="center"/>
            <w:hideMark/>
          </w:tcPr>
          <w:p w14:paraId="25CE6844" w14:textId="579491E9"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2.112</w:t>
            </w:r>
          </w:p>
        </w:tc>
        <w:tc>
          <w:tcPr>
            <w:tcW w:w="450" w:type="pct"/>
            <w:tcBorders>
              <w:top w:val="nil"/>
              <w:left w:val="nil"/>
              <w:bottom w:val="single" w:sz="4" w:space="0" w:color="000000"/>
              <w:right w:val="single" w:sz="4" w:space="0" w:color="000000"/>
            </w:tcBorders>
            <w:shd w:val="clear" w:color="000000" w:fill="FFFFFF"/>
            <w:vAlign w:val="center"/>
            <w:hideMark/>
          </w:tcPr>
          <w:p w14:paraId="7A82AD13" w14:textId="77777777" w:rsidR="00CA51F8" w:rsidRPr="004C2138" w:rsidRDefault="00CA51F8" w:rsidP="00CA51F8">
            <w:pPr>
              <w:spacing w:after="0" w:line="240" w:lineRule="auto"/>
              <w:jc w:val="center"/>
              <w:rPr>
                <w:rFonts w:ascii="Arial" w:eastAsia="Times New Roman" w:hAnsi="Arial" w:cs="Arial"/>
                <w:kern w:val="0"/>
                <w:sz w:val="14"/>
                <w:szCs w:val="14"/>
                <w:lang w:eastAsia="es-CO"/>
              </w:rPr>
            </w:pPr>
            <w:r w:rsidRPr="004C2138">
              <w:rPr>
                <w:rFonts w:ascii="Arial" w:eastAsia="Times New Roman" w:hAnsi="Arial" w:cs="Arial"/>
                <w:kern w:val="0"/>
                <w:sz w:val="14"/>
                <w:szCs w:val="14"/>
                <w:lang w:eastAsia="es-CO"/>
              </w:rPr>
              <w:t>Tons</w:t>
            </w:r>
          </w:p>
        </w:tc>
      </w:tr>
    </w:tbl>
    <w:p w14:paraId="6CA8E605" w14:textId="70A05E53" w:rsidR="00B614C1" w:rsidRPr="00947CAC" w:rsidRDefault="00CA51F8" w:rsidP="00CA51F8">
      <w:pPr>
        <w:jc w:val="both"/>
        <w:rPr>
          <w:rFonts w:ascii="Arial" w:hAnsi="Arial" w:cs="Arial"/>
          <w:lang w:val="es-ES"/>
        </w:rPr>
      </w:pPr>
      <w:r w:rsidRPr="00947CAC">
        <w:rPr>
          <w:rFonts w:ascii="Arial" w:hAnsi="Arial" w:cs="Arial"/>
        </w:rPr>
        <w:t xml:space="preserve"> Fountain: </w:t>
      </w:r>
      <w:r w:rsidRPr="00947CAC">
        <w:rPr>
          <w:rFonts w:ascii="Arial" w:hAnsi="Arial" w:cs="Arial"/>
        </w:rPr>
        <w:fldChar w:fldCharType="begin"/>
      </w:r>
      <w:r w:rsidR="00C317D6">
        <w:rPr>
          <w:rFonts w:ascii="Arial" w:hAnsi="Arial" w:cs="Arial"/>
        </w:rPr>
        <w:instrText xml:space="preserve"> ADDIN ZOTERO_ITEM CSL_CITATION {"citationID":"sVWlRjn2","properties":{"formattedCitation":"(26)","plainCitation":"(26)","noteIndex":0},"citationItems":[{"id":"GFJYlw4W/F8ajBHb9","uris":["http://zotero.org/users/14292959/items/RL6YXVFY"],"itemData":{"id":1443,"type":"standard","title":"Estadísticas del comercio para el desarrollo internacional de las empresas - Comercio bilateral entre Colombia y Colombia Producto: 36 Pólvora y explosivos; artículos de pirotecnia; fósforos (cerillas); aleaciones pirofóricas","author":[{"literal":"Centro de Comercio Internacional (ITC)"}],"issued":{"date-parts":[["2024"]]}}}],"schema":"https://github.com/citation-style-language/schema/raw/master/csl-citation.json"} </w:instrText>
      </w:r>
      <w:r w:rsidRPr="00947CAC">
        <w:rPr>
          <w:rFonts w:ascii="Arial" w:hAnsi="Arial" w:cs="Arial"/>
        </w:rPr>
        <w:fldChar w:fldCharType="separate"/>
      </w:r>
      <w:r w:rsidR="00AE4EA1" w:rsidRPr="00AE4EA1">
        <w:rPr>
          <w:rFonts w:ascii="Arial" w:hAnsi="Arial" w:cs="Arial"/>
        </w:rPr>
        <w:t>(26)</w:t>
      </w:r>
      <w:r w:rsidRPr="00947CAC">
        <w:rPr>
          <w:rFonts w:ascii="Arial" w:hAnsi="Arial" w:cs="Arial"/>
        </w:rPr>
        <w:fldChar w:fldCharType="end"/>
      </w:r>
    </w:p>
    <w:p w14:paraId="6FABB703" w14:textId="6EAC00E2" w:rsidR="00A60600" w:rsidRDefault="006B463F" w:rsidP="00C411E1">
      <w:pPr>
        <w:pStyle w:val="Heading1"/>
        <w:rPr>
          <w:lang w:val="es-ES"/>
        </w:rPr>
      </w:pPr>
      <w:r>
        <w:lastRenderedPageBreak/>
        <w:t>Fishbone diagram</w:t>
      </w:r>
    </w:p>
    <w:p w14:paraId="503EF22B" w14:textId="491CDDC0" w:rsidR="006B463F" w:rsidRPr="006B463F" w:rsidRDefault="00186170" w:rsidP="006B463F">
      <w:pPr>
        <w:rPr>
          <w:lang w:val="es-ES"/>
        </w:rPr>
      </w:pPr>
      <w:r>
        <w:rPr>
          <w:noProof/>
        </w:rPr>
        <w:drawing>
          <wp:inline distT="0" distB="0" distL="0" distR="0" wp14:anchorId="089A8621" wp14:editId="4803F44C">
            <wp:extent cx="6418384" cy="3615690"/>
            <wp:effectExtent l="0" t="0" r="1905" b="3810"/>
            <wp:docPr id="1630799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3357" cy="3624125"/>
                    </a:xfrm>
                    <a:prstGeom prst="rect">
                      <a:avLst/>
                    </a:prstGeom>
                    <a:noFill/>
                  </pic:spPr>
                </pic:pic>
              </a:graphicData>
            </a:graphic>
          </wp:inline>
        </w:drawing>
      </w:r>
    </w:p>
    <w:p w14:paraId="5A4E35A0" w14:textId="1606EC79" w:rsidR="009F27E7" w:rsidRPr="00452C88" w:rsidRDefault="00452C88" w:rsidP="00E336C4">
      <w:pPr>
        <w:pStyle w:val="Heading1"/>
        <w:rPr>
          <w:szCs w:val="32"/>
        </w:rPr>
      </w:pPr>
      <w:r w:rsidRPr="00452C88">
        <w:rPr>
          <w:szCs w:val="32"/>
        </w:rPr>
        <w:t>References</w:t>
      </w:r>
    </w:p>
    <w:p w14:paraId="7C7E1F2C" w14:textId="77777777" w:rsidR="00C317D6" w:rsidRPr="00C317D6" w:rsidRDefault="00452C88" w:rsidP="00952F38">
      <w:pPr>
        <w:widowControl w:val="0"/>
        <w:autoSpaceDE w:val="0"/>
        <w:autoSpaceDN w:val="0"/>
        <w:adjustRightInd w:val="0"/>
        <w:spacing w:after="0" w:line="276" w:lineRule="auto"/>
        <w:jc w:val="both"/>
        <w:rPr>
          <w:rFonts w:ascii="Arial" w:hAnsi="Arial" w:cs="Arial"/>
          <w:kern w:val="0"/>
          <w:lang w:val="en-US"/>
        </w:rPr>
      </w:pPr>
      <w:r>
        <w:rPr>
          <w:rFonts w:ascii="Arial" w:hAnsi="Arial" w:cs="Arial"/>
        </w:rPr>
        <w:fldChar w:fldCharType="begin"/>
      </w:r>
      <w:r w:rsidR="00C317D6" w:rsidRPr="00BF7B56">
        <w:rPr>
          <w:rFonts w:ascii="Arial" w:hAnsi="Arial" w:cs="Arial"/>
          <w:lang w:val="en-US"/>
        </w:rPr>
        <w:instrText xml:space="preserve"> ADDIN ZOTERO_BIBL {"uncited":[],"omitted":[],"custom":[]} CSL_BIBLIOGRAPHY </w:instrText>
      </w:r>
      <w:r>
        <w:rPr>
          <w:rFonts w:ascii="Arial" w:hAnsi="Arial" w:cs="Arial"/>
        </w:rPr>
        <w:fldChar w:fldCharType="separate"/>
      </w:r>
      <w:r w:rsidR="00C317D6" w:rsidRPr="00BF7B56">
        <w:rPr>
          <w:rFonts w:ascii="Arial" w:hAnsi="Arial" w:cs="Arial"/>
          <w:kern w:val="0"/>
          <w:lang w:val="en-US"/>
        </w:rPr>
        <w:t>1.</w:t>
      </w:r>
      <w:r w:rsidR="00C317D6" w:rsidRPr="00BF7B56">
        <w:rPr>
          <w:rFonts w:ascii="Arial" w:hAnsi="Arial" w:cs="Arial"/>
          <w:kern w:val="0"/>
          <w:lang w:val="en-US"/>
        </w:rPr>
        <w:tab/>
        <w:t xml:space="preserve">Galet C, Slagel I, Froehlich A, Bobb M, Lilienthal M, Fuchsen E, et al. Firework injuries remain high in years after legalisation: its impact on children. Inj Prev. December 2022; 28(6):553-9. </w:t>
      </w:r>
    </w:p>
    <w:p w14:paraId="0D7EE8AD"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2.</w:t>
      </w:r>
      <w:r w:rsidRPr="00BF7B56">
        <w:rPr>
          <w:rFonts w:ascii="Arial" w:hAnsi="Arial" w:cs="Arial"/>
          <w:kern w:val="0"/>
          <w:lang w:val="en-US"/>
        </w:rPr>
        <w:tab/>
        <w:t>Wisconsin Department of Natural Resources. Fireworks: air quality and health effects [Internet]. Available at: https://dnr.wisconsin.gov/topic/AirQuality/Fireworks.html#:~:text=Short%2Dterm%20exposures%20can%20aggravate,to%20heart%20attacks%20and%20arrhythmias.</w:t>
      </w:r>
    </w:p>
    <w:p w14:paraId="58B0FAE8"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3.</w:t>
      </w:r>
      <w:r w:rsidRPr="00BF7B56">
        <w:rPr>
          <w:rFonts w:ascii="Arial" w:hAnsi="Arial" w:cs="Arial"/>
          <w:kern w:val="0"/>
          <w:lang w:val="en-US"/>
        </w:rPr>
        <w:tab/>
        <w:t>National Institute of Health, Noncommunicable Disease Surveillance and Control Group. Protocol for the Surveillance of Injuries by Pyrotechnic Powder [Internet]. 2022. Available in: https://www.ins.gov.co/buscador-eventos/Lineamientos/Pro_Lesiones%20por%20artefactos%20-%20Polvora.pdf</w:t>
      </w:r>
    </w:p>
    <w:p w14:paraId="189669C1"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4.</w:t>
      </w:r>
      <w:r w:rsidRPr="00BF7B56">
        <w:rPr>
          <w:rFonts w:ascii="Arial" w:hAnsi="Arial" w:cs="Arial"/>
          <w:kern w:val="0"/>
          <w:lang w:val="en-US"/>
        </w:rPr>
        <w:tab/>
        <w:t xml:space="preserve">National Institute of Health, National Health Observatory. </w:t>
      </w:r>
      <w:r w:rsidRPr="00C317D6">
        <w:rPr>
          <w:rFonts w:ascii="Arial" w:hAnsi="Arial" w:cs="Arial"/>
          <w:kern w:val="0"/>
        </w:rPr>
        <w:t xml:space="preserve">Gunpowder injuries in Colombia, 2008 -2013. Ser III Pólvora. </w:t>
      </w:r>
      <w:r w:rsidRPr="00BF7B56">
        <w:rPr>
          <w:rFonts w:ascii="Arial" w:hAnsi="Arial" w:cs="Arial"/>
          <w:kern w:val="0"/>
          <w:lang w:val="en-US"/>
        </w:rPr>
        <w:t xml:space="preserve">2014; </w:t>
      </w:r>
    </w:p>
    <w:p w14:paraId="5D63D1ED"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5.</w:t>
      </w:r>
      <w:r w:rsidRPr="00BF7B56">
        <w:rPr>
          <w:rFonts w:ascii="Arial" w:hAnsi="Arial" w:cs="Arial"/>
          <w:kern w:val="0"/>
          <w:lang w:val="en-US"/>
        </w:rPr>
        <w:tab/>
        <w:t>Tejeda-Puentes DS, Carrillo MH, Londoño O. Burns with gunpowder in Cali-Colombia during the holiday season: fifteen years after Law 670 of 2001. Interdiscip J Epidemiol Public Health [Internet]. 2024 [cited 2024 February 18]; 7(1). Available in: https://revistas.unilibre.edu.co/index.php/iJEPH/article/view/11054</w:t>
      </w:r>
    </w:p>
    <w:p w14:paraId="59794F82"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6.</w:t>
      </w:r>
      <w:r w:rsidRPr="00BF7B56">
        <w:rPr>
          <w:rFonts w:ascii="Arial" w:hAnsi="Arial" w:cs="Arial"/>
          <w:kern w:val="0"/>
          <w:lang w:val="en-US"/>
        </w:rPr>
        <w:tab/>
        <w:t xml:space="preserve">UdeA Noticias Newsroom, University of Antioquia. Learn about the negative effects of dawn [Internet]. 2019. Available in: </w:t>
      </w:r>
      <w:r w:rsidRPr="00BF7B56">
        <w:rPr>
          <w:rFonts w:ascii="Arial" w:hAnsi="Arial" w:cs="Arial"/>
          <w:kern w:val="0"/>
          <w:lang w:val="en-US"/>
        </w:rPr>
        <w:lastRenderedPageBreak/>
        <w:t>https://www.udea.edu.co/wps/portal/udea/web/inicio/udea-noticias/udea-noticia/!ut/p/z0/fU8xDsIwEPsKS0d0AUqAsWJAQgwMCLW3oCOJ4KDk2iYgnk8KA2JhsWzLtmRAKAE9PfhEkcVTnXSF-jBfLMejIlcbpXOtCr3Np7PxarLbK1gD_g-kBb60LRaARnx0zwhlI12k-m4dZYrCrzrLzX14jwMvkQ1TyNS77dlKn_raQQw7Sza59VE6sjTsnEkj3pJJJ1yA5orVC60NY-s!/</w:t>
      </w:r>
    </w:p>
    <w:p w14:paraId="1DEC02F9" w14:textId="77777777" w:rsidR="00C317D6" w:rsidRPr="00C317D6" w:rsidRDefault="00C317D6" w:rsidP="00952F38">
      <w:pPr>
        <w:widowControl w:val="0"/>
        <w:autoSpaceDE w:val="0"/>
        <w:autoSpaceDN w:val="0"/>
        <w:adjustRightInd w:val="0"/>
        <w:spacing w:after="0" w:line="276" w:lineRule="auto"/>
        <w:jc w:val="both"/>
        <w:rPr>
          <w:rFonts w:ascii="Arial" w:hAnsi="Arial" w:cs="Arial"/>
          <w:kern w:val="0"/>
          <w:lang w:val="es-MX"/>
        </w:rPr>
      </w:pPr>
      <w:r w:rsidRPr="00BF7B56">
        <w:rPr>
          <w:rFonts w:ascii="Arial" w:hAnsi="Arial" w:cs="Arial"/>
          <w:kern w:val="0"/>
          <w:lang w:val="en-US"/>
        </w:rPr>
        <w:t>7.</w:t>
      </w:r>
      <w:r w:rsidRPr="00BF7B56">
        <w:rPr>
          <w:rFonts w:ascii="Arial" w:hAnsi="Arial" w:cs="Arial"/>
          <w:kern w:val="0"/>
          <w:lang w:val="en-US"/>
        </w:rPr>
        <w:tab/>
        <w:t xml:space="preserve">Puri V, Mahendru S, Rana R, Deshpande M. Firework injuries: a ten-year study. </w:t>
      </w:r>
      <w:r w:rsidRPr="00C317D6">
        <w:rPr>
          <w:rFonts w:ascii="Arial" w:hAnsi="Arial" w:cs="Arial"/>
          <w:kern w:val="0"/>
        </w:rPr>
        <w:t xml:space="preserve">J Plast Reconstr Aesthet Surg. 1 September 2009; 62(9):1103-11. </w:t>
      </w:r>
    </w:p>
    <w:p w14:paraId="023ACEA5"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C317D6">
        <w:rPr>
          <w:rFonts w:ascii="Arial" w:hAnsi="Arial" w:cs="Arial"/>
          <w:kern w:val="0"/>
        </w:rPr>
        <w:t>8.</w:t>
      </w:r>
      <w:r w:rsidRPr="00C317D6">
        <w:rPr>
          <w:rFonts w:ascii="Arial" w:hAnsi="Arial" w:cs="Arial"/>
          <w:kern w:val="0"/>
        </w:rPr>
        <w:tab/>
        <w:t xml:space="preserve">Castañeda-Orjuela CA, Chaparro-Narváez PE, Cotes-Cantillo K, Vargas-Sandoval G, Castillo P, Hoz-Restrepo FDL. </w:t>
      </w:r>
      <w:r w:rsidRPr="00BF7B56">
        <w:rPr>
          <w:rFonts w:ascii="Arial" w:hAnsi="Arial" w:cs="Arial"/>
          <w:kern w:val="0"/>
          <w:lang w:val="en-US"/>
        </w:rPr>
        <w:t xml:space="preserve">Gunpowder. Obs Nac Salud Inst Nac Salud. 2015;76. </w:t>
      </w:r>
    </w:p>
    <w:p w14:paraId="25164EA9" w14:textId="77777777" w:rsidR="00C317D6" w:rsidRPr="00C317D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9.</w:t>
      </w:r>
      <w:r w:rsidRPr="00BF7B56">
        <w:rPr>
          <w:rFonts w:ascii="Arial" w:hAnsi="Arial" w:cs="Arial"/>
          <w:kern w:val="0"/>
          <w:lang w:val="en-US"/>
        </w:rPr>
        <w:tab/>
        <w:t xml:space="preserve">Ávila AA, Castro T, Aguilar JA, Valencia C. Epidemiology and monitoring of the impact of fireworks legislation in Colombia, South America. Pedriatrics. 2016; 49(2):41-7. </w:t>
      </w:r>
    </w:p>
    <w:p w14:paraId="63D45E25" w14:textId="77777777" w:rsidR="00C317D6" w:rsidRPr="00C317D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10.</w:t>
      </w:r>
      <w:r w:rsidRPr="00BF7B56">
        <w:rPr>
          <w:rFonts w:ascii="Arial" w:hAnsi="Arial" w:cs="Arial"/>
          <w:kern w:val="0"/>
          <w:lang w:val="en-US"/>
        </w:rPr>
        <w:tab/>
        <w:t xml:space="preserve">Winicki NM, Waldrop I, Orozco JV, Novak D, Sheets NW. The epidemiology of firework-related injuries in the US, 2012–2022. Inj Epidemiol. July 4, 2023; 10(1):32. </w:t>
      </w:r>
    </w:p>
    <w:p w14:paraId="652C9D7C" w14:textId="77777777" w:rsidR="00C317D6" w:rsidRPr="00C317D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11.</w:t>
      </w:r>
      <w:r w:rsidRPr="00BF7B56">
        <w:rPr>
          <w:rFonts w:ascii="Arial" w:hAnsi="Arial" w:cs="Arial"/>
          <w:kern w:val="0"/>
          <w:lang w:val="en-US"/>
        </w:rPr>
        <w:tab/>
        <w:t xml:space="preserve">Wisse R, Bijlsma W, Stilma J. Ocular firework trauma: a systematic review on incidence, severity, outcome and prevention. Br J Ophthalmol. 2009;94:1586-91. </w:t>
      </w:r>
    </w:p>
    <w:p w14:paraId="7BA29B66"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12.</w:t>
      </w:r>
      <w:r w:rsidRPr="00BF7B56">
        <w:rPr>
          <w:rFonts w:ascii="Arial" w:hAnsi="Arial" w:cs="Arial"/>
          <w:kern w:val="0"/>
          <w:lang w:val="en-US"/>
        </w:rPr>
        <w:tab/>
        <w:t xml:space="preserve">Van Yperen DT, Van der Vlies CH, De Faber JTHN, Smit X, Polinder S, Penders CJM, et al. Epidemiology, treatment, costs, and long-term outcomes of patients with fireworks-related injuries (ROCKET); a multicenter prospective observational case series. PloS One. 2020; 15(3):E0230382. </w:t>
      </w:r>
    </w:p>
    <w:p w14:paraId="283093D7" w14:textId="77777777" w:rsidR="00C317D6" w:rsidRPr="00C317D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13.</w:t>
      </w:r>
      <w:r w:rsidRPr="00BF7B56">
        <w:rPr>
          <w:rFonts w:ascii="Arial" w:hAnsi="Arial" w:cs="Arial"/>
          <w:kern w:val="0"/>
          <w:lang w:val="en-US"/>
        </w:rPr>
        <w:tab/>
        <w:t xml:space="preserve">Contreras BPU, Oyola LT, Barragán EPR. Single Classification of Occupations for Colombia - CUOC 2023. 2023. </w:t>
      </w:r>
    </w:p>
    <w:p w14:paraId="6AA45547" w14:textId="77777777" w:rsidR="00C317D6" w:rsidRPr="00C317D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14.</w:t>
      </w:r>
      <w:r w:rsidRPr="00BF7B56">
        <w:rPr>
          <w:rFonts w:ascii="Arial" w:hAnsi="Arial" w:cs="Arial"/>
          <w:kern w:val="0"/>
          <w:lang w:val="en-US"/>
        </w:rPr>
        <w:tab/>
        <w:t xml:space="preserve">Chen XL, Wang YJ, Wang CR, Hu DL, Sun YX, Li SS. Burns due to gunpowder explosions in fireworks factory: a 13-year retrospective study. Burns J Int Soc Burn Inj. May 2002; 28(3):245-9. </w:t>
      </w:r>
    </w:p>
    <w:p w14:paraId="3D686B25"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15.</w:t>
      </w:r>
      <w:r w:rsidRPr="00BF7B56">
        <w:rPr>
          <w:rFonts w:ascii="Arial" w:hAnsi="Arial" w:cs="Arial"/>
          <w:kern w:val="0"/>
          <w:lang w:val="en-US"/>
        </w:rPr>
        <w:tab/>
        <w:t xml:space="preserve">González-Andrade F, López-Pulles R. White phosphorus poisoning by oral ingestion of firecrackers or little devils: current experience in Ecuador. Clin Toxicol Phila Pa. January 2011; 49(1):29-33. </w:t>
      </w:r>
    </w:p>
    <w:p w14:paraId="69E348EC"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16.</w:t>
      </w:r>
      <w:r w:rsidRPr="00BF7B56">
        <w:rPr>
          <w:rFonts w:ascii="Arial" w:hAnsi="Arial" w:cs="Arial"/>
          <w:kern w:val="0"/>
          <w:lang w:val="en-US"/>
        </w:rPr>
        <w:tab/>
        <w:t>National Institute of Health. Geovisor: Season of intensified surveillance of injuries by pyrotechnic powder [Internet]. [cited 2024 Jun 7]. Available in: https://app.powerbi.com/view?r=eyJrIjoiMzY4MjcxZjgtYjYxZC00MGVlLTllYzUtNDJiNjA4MmE0MmNmIiwidCI6ImE2MmQ2YzdiLTlmNTktNDQ2OS05MzU5LTM1MzcxNDc1OTRiYiIsImMiOjR9</w:t>
      </w:r>
    </w:p>
    <w:p w14:paraId="4F7187CF"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17.</w:t>
      </w:r>
      <w:r w:rsidRPr="00BF7B56">
        <w:rPr>
          <w:rFonts w:ascii="Arial" w:hAnsi="Arial" w:cs="Arial"/>
          <w:kern w:val="0"/>
          <w:lang w:val="en-US"/>
        </w:rPr>
        <w:tab/>
        <w:t xml:space="preserve">Congress of the Republic. LAW 670 OF 2001. By means of which Article 44 of the Political Constitution is partially developed to guarantee the life, physical integrity and recreation of the child exposed to risk by the handling of pyrotechnic articles or explosives. Bogotá, D.C., Colombia; 2001. </w:t>
      </w:r>
    </w:p>
    <w:p w14:paraId="5173F6A0"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18.</w:t>
      </w:r>
      <w:r w:rsidRPr="00BF7B56">
        <w:rPr>
          <w:rFonts w:ascii="Arial" w:hAnsi="Arial" w:cs="Arial"/>
          <w:kern w:val="0"/>
          <w:lang w:val="en-US"/>
        </w:rPr>
        <w:tab/>
        <w:t xml:space="preserve">Congress of the Republic. LAW 1098 OF 2006. By which the Code of Childhood and Adolescence is issued. Bogotá, D.C., Colombia; 2006. </w:t>
      </w:r>
    </w:p>
    <w:p w14:paraId="68C93D93"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19.</w:t>
      </w:r>
      <w:r w:rsidRPr="00BF7B56">
        <w:rPr>
          <w:rFonts w:ascii="Arial" w:hAnsi="Arial" w:cs="Arial"/>
          <w:kern w:val="0"/>
          <w:lang w:val="en-US"/>
        </w:rPr>
        <w:tab/>
        <w:t xml:space="preserve">Congress of the Republic. Law 1801 of 2016. by which the National Code of Security and Citizen Coexistence is issued. Bogotá, D.C., Colombia; 2016. </w:t>
      </w:r>
    </w:p>
    <w:p w14:paraId="0B4C2E5C"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20.</w:t>
      </w:r>
      <w:r w:rsidRPr="00BF7B56">
        <w:rPr>
          <w:rFonts w:ascii="Arial" w:hAnsi="Arial" w:cs="Arial"/>
          <w:kern w:val="0"/>
          <w:lang w:val="en-US"/>
        </w:rPr>
        <w:tab/>
        <w:t xml:space="preserve">Congress of the Republic. Law 1575 of 2012. By means of which the General Law of Firefighters of Colombia is established. Bogotá, D.C., Colombia; 2012. </w:t>
      </w:r>
    </w:p>
    <w:p w14:paraId="049B3FDD"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21.</w:t>
      </w:r>
      <w:r w:rsidRPr="00BF7B56">
        <w:rPr>
          <w:rFonts w:ascii="Arial" w:hAnsi="Arial" w:cs="Arial"/>
          <w:kern w:val="0"/>
          <w:lang w:val="en-US"/>
        </w:rPr>
        <w:tab/>
        <w:t xml:space="preserve">Congress of the Republic. LAW 2224 OF 2022. By means of which the fundamental </w:t>
      </w:r>
      <w:r w:rsidRPr="00BF7B56">
        <w:rPr>
          <w:rFonts w:ascii="Arial" w:hAnsi="Arial" w:cs="Arial"/>
          <w:kern w:val="0"/>
          <w:lang w:val="en-US"/>
        </w:rPr>
        <w:lastRenderedPageBreak/>
        <w:t xml:space="preserve">rights to life, physical integrity, health and recreation of all inhabitants, especially children and adolescents in the national territory, are guaranteed through the regulation of the use, manufacture, handling, transport, storage, marketing, purchase, sale and sale of gunpowder and pyrotechnic products in the national territory and other provisions are issued. Bogotá, D.C., Colombia; 2022. </w:t>
      </w:r>
    </w:p>
    <w:p w14:paraId="52EDBCDA"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22.</w:t>
      </w:r>
      <w:r w:rsidRPr="00BF7B56">
        <w:rPr>
          <w:rFonts w:ascii="Arial" w:hAnsi="Arial" w:cs="Arial"/>
          <w:kern w:val="0"/>
          <w:lang w:val="en-US"/>
        </w:rPr>
        <w:tab/>
        <w:t xml:space="preserve">Ministry of the Interior, Ministry of Defence, Ministry of Justice and Law, Ministry of Health and Social Protection. DECREE 2174 OF 2023. By which Chapter 2 of Title 4 of Part 2 of Book 2 of Decree number 1066 of 2015, Sole Regulatory of the Interior Sector, is added in relation to the requirements for the use, manufacture, handling, transport, storage, marketing, purchase, sale of gunpowder and pyrotechnic products in the national territory, and Article 2.2.4.1.21 of Decree number 1070 of 2015 is modified, the Sole Regulatory Decree of the Defense Sector and other provisions are issued. Bogotá, D.C., Colombia; 2024. </w:t>
      </w:r>
    </w:p>
    <w:p w14:paraId="0572E08C"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23.</w:t>
      </w:r>
      <w:r w:rsidRPr="00BF7B56">
        <w:rPr>
          <w:rFonts w:ascii="Arial" w:hAnsi="Arial" w:cs="Arial"/>
          <w:kern w:val="0"/>
          <w:lang w:val="en-US"/>
        </w:rPr>
        <w:tab/>
        <w:t xml:space="preserve">General Accounting Office of the Nation. Categorization of municipalities and departments. 2024. </w:t>
      </w:r>
    </w:p>
    <w:p w14:paraId="231D1D2C"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24.</w:t>
      </w:r>
      <w:r w:rsidRPr="00BF7B56">
        <w:rPr>
          <w:rFonts w:ascii="Arial" w:hAnsi="Arial" w:cs="Arial"/>
          <w:kern w:val="0"/>
          <w:lang w:val="en-US"/>
        </w:rPr>
        <w:tab/>
        <w:t>National Department of Statistics. International Standard Industrial Classification of All Economic Activities - Revision 4 Adapted for Colombia ISIC Rev. 4 B.C. (2020) [Internet]. 2020. Available in: https://www.dane.gov.co/files/sen/normas-y-estadares/CIIU_Rev_4_AC2020.pdf</w:t>
      </w:r>
    </w:p>
    <w:p w14:paraId="2EF4F14F" w14:textId="77777777" w:rsidR="00C317D6" w:rsidRPr="00BF7B56" w:rsidRDefault="00C317D6" w:rsidP="00952F38">
      <w:pPr>
        <w:widowControl w:val="0"/>
        <w:autoSpaceDE w:val="0"/>
        <w:autoSpaceDN w:val="0"/>
        <w:adjustRightInd w:val="0"/>
        <w:spacing w:after="0" w:line="276" w:lineRule="auto"/>
        <w:jc w:val="both"/>
        <w:rPr>
          <w:rFonts w:ascii="Arial" w:hAnsi="Arial" w:cs="Arial"/>
          <w:kern w:val="0"/>
          <w:lang w:val="en-US"/>
        </w:rPr>
      </w:pPr>
      <w:r w:rsidRPr="00BF7B56">
        <w:rPr>
          <w:rFonts w:ascii="Arial" w:hAnsi="Arial" w:cs="Arial"/>
          <w:kern w:val="0"/>
          <w:lang w:val="en-US"/>
        </w:rPr>
        <w:t>25.</w:t>
      </w:r>
      <w:r w:rsidRPr="00BF7B56">
        <w:rPr>
          <w:rFonts w:ascii="Arial" w:hAnsi="Arial" w:cs="Arial"/>
          <w:kern w:val="0"/>
          <w:lang w:val="en-US"/>
        </w:rPr>
        <w:tab/>
        <w:t>National Department of Statistics. Geovisor Business Directory 2022-II [Internet]. Bogotá, D.C., Colombia; 2022 [cited 2024 Jun 5]. Available in: https://geoportal.dane.gov.co/geovisores/economia/directorio-estadistico-de-empresas/</w:t>
      </w:r>
    </w:p>
    <w:p w14:paraId="05DA32C1" w14:textId="77777777" w:rsidR="00C317D6" w:rsidRPr="00C317D6" w:rsidRDefault="00C317D6" w:rsidP="00952F38">
      <w:pPr>
        <w:widowControl w:val="0"/>
        <w:autoSpaceDE w:val="0"/>
        <w:autoSpaceDN w:val="0"/>
        <w:adjustRightInd w:val="0"/>
        <w:spacing w:after="0" w:line="276" w:lineRule="auto"/>
        <w:jc w:val="both"/>
        <w:rPr>
          <w:rFonts w:ascii="Arial" w:hAnsi="Arial" w:cs="Arial"/>
          <w:kern w:val="0"/>
          <w:lang w:val="es-MX"/>
        </w:rPr>
      </w:pPr>
      <w:r w:rsidRPr="00BF7B56">
        <w:rPr>
          <w:rFonts w:ascii="Arial" w:hAnsi="Arial" w:cs="Arial"/>
          <w:kern w:val="0"/>
          <w:lang w:val="en-US"/>
        </w:rPr>
        <w:t>26.</w:t>
      </w:r>
      <w:r w:rsidRPr="00BF7B56">
        <w:rPr>
          <w:rFonts w:ascii="Arial" w:hAnsi="Arial" w:cs="Arial"/>
          <w:kern w:val="0"/>
          <w:lang w:val="en-US"/>
        </w:rPr>
        <w:tab/>
        <w:t xml:space="preserve">International Trade Centre (ITC). Trade Statistics for International Business Development - Bilateral Trade between Colombia and Colombia Output: 36 Gunpowder and explosives; pyrotechnic articles; matches (matches); pyrophoric alloys. </w:t>
      </w:r>
      <w:r w:rsidRPr="00C317D6">
        <w:rPr>
          <w:rFonts w:ascii="Arial" w:hAnsi="Arial" w:cs="Arial"/>
          <w:kern w:val="0"/>
        </w:rPr>
        <w:t xml:space="preserve">2024. </w:t>
      </w:r>
    </w:p>
    <w:p w14:paraId="188DA881" w14:textId="7848BF90" w:rsidR="009F27E7" w:rsidRPr="00947CAC" w:rsidRDefault="00452C88" w:rsidP="00952F38">
      <w:pPr>
        <w:spacing w:line="276" w:lineRule="auto"/>
        <w:jc w:val="both"/>
        <w:rPr>
          <w:rFonts w:ascii="Arial" w:hAnsi="Arial" w:cs="Arial"/>
        </w:rPr>
      </w:pPr>
      <w:r>
        <w:rPr>
          <w:rFonts w:ascii="Arial" w:hAnsi="Arial" w:cs="Arial"/>
        </w:rPr>
        <w:fldChar w:fldCharType="end"/>
      </w:r>
    </w:p>
    <w:sectPr w:rsidR="009F27E7" w:rsidRPr="00947CAC">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3B679" w14:textId="77777777" w:rsidR="000321AB" w:rsidRDefault="000321AB" w:rsidP="00DB279B">
      <w:pPr>
        <w:spacing w:after="0" w:line="240" w:lineRule="auto"/>
      </w:pPr>
      <w:r>
        <w:separator/>
      </w:r>
    </w:p>
  </w:endnote>
  <w:endnote w:type="continuationSeparator" w:id="0">
    <w:p w14:paraId="1990682C" w14:textId="77777777" w:rsidR="000321AB" w:rsidRDefault="000321AB" w:rsidP="00DB279B">
      <w:pPr>
        <w:spacing w:after="0" w:line="240" w:lineRule="auto"/>
      </w:pPr>
      <w:r>
        <w:continuationSeparator/>
      </w:r>
    </w:p>
  </w:endnote>
  <w:endnote w:type="continuationNotice" w:id="1">
    <w:p w14:paraId="19DBD475" w14:textId="77777777" w:rsidR="000321AB" w:rsidRDefault="000321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77DEB" w14:textId="606B3A83" w:rsidR="00DB279B" w:rsidRDefault="00DB279B" w:rsidP="00DB279B">
    <w:pPr>
      <w:pStyle w:val="Footer"/>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of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3226" w14:textId="77777777" w:rsidR="000321AB" w:rsidRDefault="000321AB" w:rsidP="00DB279B">
      <w:pPr>
        <w:spacing w:after="0" w:line="240" w:lineRule="auto"/>
      </w:pPr>
      <w:r>
        <w:separator/>
      </w:r>
    </w:p>
  </w:footnote>
  <w:footnote w:type="continuationSeparator" w:id="0">
    <w:p w14:paraId="564BF05D" w14:textId="77777777" w:rsidR="000321AB" w:rsidRDefault="000321AB" w:rsidP="00DB279B">
      <w:pPr>
        <w:spacing w:after="0" w:line="240" w:lineRule="auto"/>
      </w:pPr>
      <w:r>
        <w:continuationSeparator/>
      </w:r>
    </w:p>
  </w:footnote>
  <w:footnote w:type="continuationNotice" w:id="1">
    <w:p w14:paraId="501D99F1" w14:textId="77777777" w:rsidR="000321AB" w:rsidRDefault="000321A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18F3"/>
    <w:multiLevelType w:val="hybridMultilevel"/>
    <w:tmpl w:val="ECC4DC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FF0E4B"/>
    <w:multiLevelType w:val="hybridMultilevel"/>
    <w:tmpl w:val="FD625F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E65AD1"/>
    <w:multiLevelType w:val="hybridMultilevel"/>
    <w:tmpl w:val="847AD700"/>
    <w:lvl w:ilvl="0" w:tplc="096E3F16">
      <w:start w:val="1"/>
      <w:numFmt w:val="decimal"/>
      <w:pStyle w:val="Heading1"/>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15:restartNumberingAfterBreak="0">
    <w:nsid w:val="2F5160EC"/>
    <w:multiLevelType w:val="hybridMultilevel"/>
    <w:tmpl w:val="2FA8BE50"/>
    <w:lvl w:ilvl="0" w:tplc="BB14855A">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8246C21"/>
    <w:multiLevelType w:val="hybridMultilevel"/>
    <w:tmpl w:val="ECC4DC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F73264"/>
    <w:multiLevelType w:val="hybridMultilevel"/>
    <w:tmpl w:val="68EC9F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1CF73A0"/>
    <w:multiLevelType w:val="hybridMultilevel"/>
    <w:tmpl w:val="B71EA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97934A8"/>
    <w:multiLevelType w:val="hybridMultilevel"/>
    <w:tmpl w:val="68EC9F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910CF6"/>
    <w:multiLevelType w:val="hybridMultilevel"/>
    <w:tmpl w:val="ECC4DC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7B8171E"/>
    <w:multiLevelType w:val="hybridMultilevel"/>
    <w:tmpl w:val="437E9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1519086">
    <w:abstractNumId w:val="3"/>
  </w:num>
  <w:num w:numId="2" w16cid:durableId="258832581">
    <w:abstractNumId w:val="8"/>
  </w:num>
  <w:num w:numId="3" w16cid:durableId="376399808">
    <w:abstractNumId w:val="9"/>
  </w:num>
  <w:num w:numId="4" w16cid:durableId="1528252085">
    <w:abstractNumId w:val="0"/>
  </w:num>
  <w:num w:numId="5" w16cid:durableId="1871067347">
    <w:abstractNumId w:val="4"/>
  </w:num>
  <w:num w:numId="6" w16cid:durableId="2033022848">
    <w:abstractNumId w:val="5"/>
  </w:num>
  <w:num w:numId="7" w16cid:durableId="1166166048">
    <w:abstractNumId w:val="6"/>
  </w:num>
  <w:num w:numId="8" w16cid:durableId="1124150638">
    <w:abstractNumId w:val="7"/>
  </w:num>
  <w:num w:numId="9" w16cid:durableId="1449857189">
    <w:abstractNumId w:val="2"/>
  </w:num>
  <w:num w:numId="10" w16cid:durableId="491334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4"/>
  <w:hideSpellingErrors/>
  <w:hideGrammaticalError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D6"/>
    <w:rsid w:val="00012180"/>
    <w:rsid w:val="00012CAE"/>
    <w:rsid w:val="00027ACF"/>
    <w:rsid w:val="000321AB"/>
    <w:rsid w:val="00046480"/>
    <w:rsid w:val="00047A13"/>
    <w:rsid w:val="00067882"/>
    <w:rsid w:val="00072891"/>
    <w:rsid w:val="00090FEF"/>
    <w:rsid w:val="00091747"/>
    <w:rsid w:val="00092EFB"/>
    <w:rsid w:val="000C0689"/>
    <w:rsid w:val="000C6696"/>
    <w:rsid w:val="000D0329"/>
    <w:rsid w:val="000E26B5"/>
    <w:rsid w:val="000E5D23"/>
    <w:rsid w:val="000F3AEA"/>
    <w:rsid w:val="0012008D"/>
    <w:rsid w:val="00131570"/>
    <w:rsid w:val="001339B3"/>
    <w:rsid w:val="00147DD0"/>
    <w:rsid w:val="001625BD"/>
    <w:rsid w:val="00167775"/>
    <w:rsid w:val="00186170"/>
    <w:rsid w:val="00195DBF"/>
    <w:rsid w:val="001D3754"/>
    <w:rsid w:val="001D7513"/>
    <w:rsid w:val="00202D71"/>
    <w:rsid w:val="002616FB"/>
    <w:rsid w:val="00261B4C"/>
    <w:rsid w:val="00291687"/>
    <w:rsid w:val="002979D1"/>
    <w:rsid w:val="002C6BC6"/>
    <w:rsid w:val="002E7C34"/>
    <w:rsid w:val="003007AF"/>
    <w:rsid w:val="0030747B"/>
    <w:rsid w:val="00312C13"/>
    <w:rsid w:val="003202EF"/>
    <w:rsid w:val="003302C2"/>
    <w:rsid w:val="0034588D"/>
    <w:rsid w:val="00361D9E"/>
    <w:rsid w:val="00372FC9"/>
    <w:rsid w:val="00373D56"/>
    <w:rsid w:val="0037685D"/>
    <w:rsid w:val="003A2AD4"/>
    <w:rsid w:val="003B01D6"/>
    <w:rsid w:val="003B52CE"/>
    <w:rsid w:val="003C1009"/>
    <w:rsid w:val="003C3F28"/>
    <w:rsid w:val="003F1FE0"/>
    <w:rsid w:val="003F2C87"/>
    <w:rsid w:val="00435C57"/>
    <w:rsid w:val="00441875"/>
    <w:rsid w:val="00452C88"/>
    <w:rsid w:val="00453689"/>
    <w:rsid w:val="00463854"/>
    <w:rsid w:val="00465DF2"/>
    <w:rsid w:val="004A4091"/>
    <w:rsid w:val="004B3DEF"/>
    <w:rsid w:val="004C1DE9"/>
    <w:rsid w:val="004C2138"/>
    <w:rsid w:val="004E7A66"/>
    <w:rsid w:val="004F1365"/>
    <w:rsid w:val="004F6022"/>
    <w:rsid w:val="005043EC"/>
    <w:rsid w:val="0050467E"/>
    <w:rsid w:val="00532410"/>
    <w:rsid w:val="0053269A"/>
    <w:rsid w:val="0054116A"/>
    <w:rsid w:val="00551DDC"/>
    <w:rsid w:val="00552CC7"/>
    <w:rsid w:val="00552FC5"/>
    <w:rsid w:val="005537D7"/>
    <w:rsid w:val="0056782A"/>
    <w:rsid w:val="00581BCC"/>
    <w:rsid w:val="005B1351"/>
    <w:rsid w:val="005D7CE0"/>
    <w:rsid w:val="005E73D7"/>
    <w:rsid w:val="005F5520"/>
    <w:rsid w:val="005F59C2"/>
    <w:rsid w:val="006126BD"/>
    <w:rsid w:val="00615BB3"/>
    <w:rsid w:val="006352AD"/>
    <w:rsid w:val="00635A3A"/>
    <w:rsid w:val="006412D2"/>
    <w:rsid w:val="00645A4D"/>
    <w:rsid w:val="00645D81"/>
    <w:rsid w:val="006657E0"/>
    <w:rsid w:val="0068257F"/>
    <w:rsid w:val="00684881"/>
    <w:rsid w:val="00687D14"/>
    <w:rsid w:val="006A7821"/>
    <w:rsid w:val="006B1889"/>
    <w:rsid w:val="006B463F"/>
    <w:rsid w:val="006B58D1"/>
    <w:rsid w:val="006C5A4E"/>
    <w:rsid w:val="006E15A1"/>
    <w:rsid w:val="006F13C6"/>
    <w:rsid w:val="0070009C"/>
    <w:rsid w:val="00760BB1"/>
    <w:rsid w:val="007A68C0"/>
    <w:rsid w:val="007F2C3D"/>
    <w:rsid w:val="007F455F"/>
    <w:rsid w:val="00803074"/>
    <w:rsid w:val="00804284"/>
    <w:rsid w:val="00811041"/>
    <w:rsid w:val="008427E0"/>
    <w:rsid w:val="00860F8A"/>
    <w:rsid w:val="00877964"/>
    <w:rsid w:val="0088115F"/>
    <w:rsid w:val="0088160F"/>
    <w:rsid w:val="008B0093"/>
    <w:rsid w:val="008C043C"/>
    <w:rsid w:val="008D34B8"/>
    <w:rsid w:val="008F2493"/>
    <w:rsid w:val="009024EA"/>
    <w:rsid w:val="009136B4"/>
    <w:rsid w:val="00941108"/>
    <w:rsid w:val="00947CAC"/>
    <w:rsid w:val="00952F38"/>
    <w:rsid w:val="00961BF2"/>
    <w:rsid w:val="00964710"/>
    <w:rsid w:val="00974E78"/>
    <w:rsid w:val="0097644F"/>
    <w:rsid w:val="0098477B"/>
    <w:rsid w:val="00992628"/>
    <w:rsid w:val="009A3B34"/>
    <w:rsid w:val="009B60A2"/>
    <w:rsid w:val="009C6C6B"/>
    <w:rsid w:val="009F2669"/>
    <w:rsid w:val="009F27E7"/>
    <w:rsid w:val="00A03D66"/>
    <w:rsid w:val="00A27A2F"/>
    <w:rsid w:val="00A3382F"/>
    <w:rsid w:val="00A60600"/>
    <w:rsid w:val="00AB62D5"/>
    <w:rsid w:val="00AE3B37"/>
    <w:rsid w:val="00AE4EA1"/>
    <w:rsid w:val="00AF58B2"/>
    <w:rsid w:val="00B02DD9"/>
    <w:rsid w:val="00B030B3"/>
    <w:rsid w:val="00B1613E"/>
    <w:rsid w:val="00B25FD0"/>
    <w:rsid w:val="00B26855"/>
    <w:rsid w:val="00B269A2"/>
    <w:rsid w:val="00B34B1D"/>
    <w:rsid w:val="00B40958"/>
    <w:rsid w:val="00B41640"/>
    <w:rsid w:val="00B57A48"/>
    <w:rsid w:val="00B614C1"/>
    <w:rsid w:val="00B81BBB"/>
    <w:rsid w:val="00B933EB"/>
    <w:rsid w:val="00B972F1"/>
    <w:rsid w:val="00BF108B"/>
    <w:rsid w:val="00BF3290"/>
    <w:rsid w:val="00BF7B56"/>
    <w:rsid w:val="00C02261"/>
    <w:rsid w:val="00C17D06"/>
    <w:rsid w:val="00C317D6"/>
    <w:rsid w:val="00C37E73"/>
    <w:rsid w:val="00C411E1"/>
    <w:rsid w:val="00C46B70"/>
    <w:rsid w:val="00C54AF1"/>
    <w:rsid w:val="00C55439"/>
    <w:rsid w:val="00C6198D"/>
    <w:rsid w:val="00C6278F"/>
    <w:rsid w:val="00CA173C"/>
    <w:rsid w:val="00CA488B"/>
    <w:rsid w:val="00CA51F8"/>
    <w:rsid w:val="00CB6F45"/>
    <w:rsid w:val="00CC11F6"/>
    <w:rsid w:val="00D104D6"/>
    <w:rsid w:val="00D11F50"/>
    <w:rsid w:val="00D12923"/>
    <w:rsid w:val="00D44C57"/>
    <w:rsid w:val="00D534AB"/>
    <w:rsid w:val="00D73A52"/>
    <w:rsid w:val="00DA4512"/>
    <w:rsid w:val="00DB279B"/>
    <w:rsid w:val="00DB4F18"/>
    <w:rsid w:val="00DB6484"/>
    <w:rsid w:val="00DB6E2D"/>
    <w:rsid w:val="00E20249"/>
    <w:rsid w:val="00E336C4"/>
    <w:rsid w:val="00E337D2"/>
    <w:rsid w:val="00E43327"/>
    <w:rsid w:val="00E457E5"/>
    <w:rsid w:val="00E50A90"/>
    <w:rsid w:val="00E56821"/>
    <w:rsid w:val="00E86E6E"/>
    <w:rsid w:val="00EA2E94"/>
    <w:rsid w:val="00EB6C74"/>
    <w:rsid w:val="00EC1A93"/>
    <w:rsid w:val="00ED1318"/>
    <w:rsid w:val="00EF727C"/>
    <w:rsid w:val="00F000C1"/>
    <w:rsid w:val="00F02BE4"/>
    <w:rsid w:val="00F53217"/>
    <w:rsid w:val="00F73DCF"/>
    <w:rsid w:val="00F76334"/>
    <w:rsid w:val="00F81D90"/>
    <w:rsid w:val="00FA165A"/>
    <w:rsid w:val="00FB4CB4"/>
    <w:rsid w:val="00FD20BE"/>
    <w:rsid w:val="00FE789A"/>
    <w:rsid w:val="00FE7CDA"/>
    <w:rsid w:val="2D7A977A"/>
    <w:rsid w:val="2DCE6365"/>
    <w:rsid w:val="42D0FF50"/>
    <w:rsid w:val="6AE39E6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88CAD"/>
  <w15:chartTrackingRefBased/>
  <w15:docId w15:val="{4B8AD963-EF71-174F-9420-84D59212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01D6"/>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0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0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0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0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0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0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0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0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0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0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0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0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0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0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01D6"/>
    <w:rPr>
      <w:rFonts w:eastAsiaTheme="majorEastAsia" w:cstheme="majorBidi"/>
      <w:color w:val="272727" w:themeColor="text1" w:themeTint="D8"/>
    </w:rPr>
  </w:style>
  <w:style w:type="paragraph" w:styleId="Title">
    <w:name w:val="Title"/>
    <w:basedOn w:val="Normal"/>
    <w:next w:val="Normal"/>
    <w:link w:val="TitleChar"/>
    <w:uiPriority w:val="10"/>
    <w:qFormat/>
    <w:rsid w:val="003B01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0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01D6"/>
    <w:pPr>
      <w:spacing w:before="160"/>
      <w:jc w:val="center"/>
    </w:pPr>
    <w:rPr>
      <w:i/>
      <w:iCs/>
      <w:color w:val="404040" w:themeColor="text1" w:themeTint="BF"/>
    </w:rPr>
  </w:style>
  <w:style w:type="character" w:customStyle="1" w:styleId="QuoteChar">
    <w:name w:val="Quote Char"/>
    <w:basedOn w:val="DefaultParagraphFont"/>
    <w:link w:val="Quote"/>
    <w:uiPriority w:val="29"/>
    <w:rsid w:val="003B01D6"/>
    <w:rPr>
      <w:i/>
      <w:iCs/>
      <w:color w:val="404040" w:themeColor="text1" w:themeTint="BF"/>
    </w:rPr>
  </w:style>
  <w:style w:type="paragraph" w:styleId="ListParagraph">
    <w:name w:val="List Paragraph"/>
    <w:basedOn w:val="Normal"/>
    <w:uiPriority w:val="34"/>
    <w:qFormat/>
    <w:rsid w:val="003B01D6"/>
    <w:pPr>
      <w:ind w:left="720"/>
      <w:contextualSpacing/>
    </w:pPr>
  </w:style>
  <w:style w:type="character" w:styleId="IntenseEmphasis">
    <w:name w:val="Intense Emphasis"/>
    <w:basedOn w:val="DefaultParagraphFont"/>
    <w:uiPriority w:val="21"/>
    <w:qFormat/>
    <w:rsid w:val="003B01D6"/>
    <w:rPr>
      <w:i/>
      <w:iCs/>
      <w:color w:val="0F4761" w:themeColor="accent1" w:themeShade="BF"/>
    </w:rPr>
  </w:style>
  <w:style w:type="paragraph" w:styleId="IntenseQuote">
    <w:name w:val="Intense Quote"/>
    <w:basedOn w:val="Normal"/>
    <w:next w:val="Normal"/>
    <w:link w:val="IntenseQuoteChar"/>
    <w:uiPriority w:val="30"/>
    <w:qFormat/>
    <w:rsid w:val="003B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01D6"/>
    <w:rPr>
      <w:i/>
      <w:iCs/>
      <w:color w:val="0F4761" w:themeColor="accent1" w:themeShade="BF"/>
    </w:rPr>
  </w:style>
  <w:style w:type="character" w:styleId="IntenseReference">
    <w:name w:val="Intense Reference"/>
    <w:basedOn w:val="DefaultParagraphFont"/>
    <w:uiPriority w:val="32"/>
    <w:qFormat/>
    <w:rsid w:val="003B01D6"/>
    <w:rPr>
      <w:b/>
      <w:bCs/>
      <w:smallCaps/>
      <w:color w:val="0F4761" w:themeColor="accent1" w:themeShade="BF"/>
      <w:spacing w:val="5"/>
    </w:rPr>
  </w:style>
  <w:style w:type="paragraph" w:styleId="Header">
    <w:name w:val="header"/>
    <w:basedOn w:val="Normal"/>
    <w:link w:val="HeaderChar"/>
    <w:uiPriority w:val="99"/>
    <w:unhideWhenUsed/>
    <w:rsid w:val="00DB27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DB279B"/>
  </w:style>
  <w:style w:type="paragraph" w:styleId="Footer">
    <w:name w:val="footer"/>
    <w:basedOn w:val="Normal"/>
    <w:link w:val="FooterChar"/>
    <w:uiPriority w:val="99"/>
    <w:unhideWhenUsed/>
    <w:rsid w:val="00DB27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DB279B"/>
  </w:style>
  <w:style w:type="character" w:styleId="Hyperlink">
    <w:name w:val="Hyperlink"/>
    <w:basedOn w:val="DefaultParagraphFont"/>
    <w:uiPriority w:val="99"/>
    <w:semiHidden/>
    <w:unhideWhenUsed/>
    <w:rsid w:val="009A3B34"/>
    <w:rPr>
      <w:color w:val="0000FF"/>
      <w:u w:val="single"/>
    </w:rPr>
  </w:style>
  <w:style w:type="paragraph" w:styleId="NormalWeb">
    <w:name w:val="Normal (Web)"/>
    <w:basedOn w:val="Normal"/>
    <w:uiPriority w:val="99"/>
    <w:semiHidden/>
    <w:unhideWhenUsed/>
    <w:rsid w:val="009A3B34"/>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paragraph" w:styleId="Bibliography">
    <w:name w:val="Bibliography"/>
    <w:basedOn w:val="Normal"/>
    <w:next w:val="Normal"/>
    <w:uiPriority w:val="37"/>
    <w:unhideWhenUsed/>
    <w:rsid w:val="007A68C0"/>
    <w:pPr>
      <w:spacing w:after="0" w:line="480" w:lineRule="auto"/>
      <w:ind w:left="720" w:hanging="720"/>
    </w:pPr>
  </w:style>
  <w:style w:type="paragraph" w:customStyle="1" w:styleId="Default">
    <w:name w:val="Default"/>
    <w:rsid w:val="00FD20BE"/>
    <w:pPr>
      <w:autoSpaceDE w:val="0"/>
      <w:autoSpaceDN w:val="0"/>
      <w:adjustRightInd w:val="0"/>
      <w:spacing w:after="0" w:line="240" w:lineRule="auto"/>
    </w:pPr>
    <w:rPr>
      <w:rFonts w:ascii="Arial" w:hAnsi="Arial" w:cs="Arial"/>
      <w:color w:val="000000"/>
      <w:kern w:val="0"/>
      <w:sz w:val="24"/>
      <w:szCs w:val="24"/>
    </w:rPr>
  </w:style>
  <w:style w:type="paragraph" w:styleId="Caption">
    <w:name w:val="caption"/>
    <w:basedOn w:val="Normal"/>
    <w:next w:val="Normal"/>
    <w:uiPriority w:val="35"/>
    <w:unhideWhenUsed/>
    <w:qFormat/>
    <w:rsid w:val="003C1009"/>
    <w:pPr>
      <w:spacing w:after="200" w:line="240" w:lineRule="auto"/>
    </w:pPr>
    <w:rPr>
      <w:i/>
      <w:iCs/>
      <w:color w:val="0E2841" w:themeColor="text2"/>
      <w:sz w:val="18"/>
      <w:szCs w:val="18"/>
    </w:rPr>
  </w:style>
  <w:style w:type="paragraph" w:customStyle="1" w:styleId="Bibliography2">
    <w:name w:val="Bibliography2"/>
    <w:basedOn w:val="Normal"/>
    <w:rsid w:val="004E7A66"/>
    <w:pPr>
      <w:tabs>
        <w:tab w:val="left" w:pos="380"/>
      </w:tabs>
      <w:spacing w:after="240" w:line="240" w:lineRule="auto"/>
      <w:ind w:left="384" w:hanging="384"/>
      <w:jc w:val="both"/>
    </w:pPr>
    <w:rPr>
      <w:lang w:val="es-ES"/>
    </w:rPr>
  </w:style>
  <w:style w:type="table" w:styleId="GridTable4-Accent1">
    <w:name w:val="Grid Table 4 Accent 1"/>
    <w:basedOn w:val="TableNormal"/>
    <w:uiPriority w:val="49"/>
    <w:rsid w:val="00C0226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3-Accent1">
    <w:name w:val="List Table 3 Accent 1"/>
    <w:basedOn w:val="TableNormal"/>
    <w:uiPriority w:val="48"/>
    <w:rsid w:val="00C02261"/>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4-Accent1">
    <w:name w:val="List Table 4 Accent 1"/>
    <w:basedOn w:val="TableNormal"/>
    <w:uiPriority w:val="49"/>
    <w:rsid w:val="00C0226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PlaceholderText">
    <w:name w:val="Placeholder Text"/>
    <w:basedOn w:val="DefaultParagraphFont"/>
    <w:uiPriority w:val="99"/>
    <w:semiHidden/>
    <w:rsid w:val="00BF7B5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14137">
      <w:bodyDiv w:val="1"/>
      <w:marLeft w:val="0"/>
      <w:marRight w:val="0"/>
      <w:marTop w:val="0"/>
      <w:marBottom w:val="0"/>
      <w:divBdr>
        <w:top w:val="none" w:sz="0" w:space="0" w:color="auto"/>
        <w:left w:val="none" w:sz="0" w:space="0" w:color="auto"/>
        <w:bottom w:val="none" w:sz="0" w:space="0" w:color="auto"/>
        <w:right w:val="none" w:sz="0" w:space="0" w:color="auto"/>
      </w:divBdr>
    </w:div>
    <w:div w:id="1642274389">
      <w:bodyDiv w:val="1"/>
      <w:marLeft w:val="0"/>
      <w:marRight w:val="0"/>
      <w:marTop w:val="0"/>
      <w:marBottom w:val="0"/>
      <w:divBdr>
        <w:top w:val="none" w:sz="0" w:space="0" w:color="auto"/>
        <w:left w:val="none" w:sz="0" w:space="0" w:color="auto"/>
        <w:bottom w:val="none" w:sz="0" w:space="0" w:color="auto"/>
        <w:right w:val="none" w:sz="0" w:space="0" w:color="auto"/>
      </w:divBdr>
    </w:div>
    <w:div w:id="20957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890D2C-2283-4B6A-ADEC-024DDA7F8933}" type="doc">
      <dgm:prSet loTypeId="urn:microsoft.com/office/officeart/2005/8/layout/hProcess11" loCatId="process" qsTypeId="urn:microsoft.com/office/officeart/2005/8/quickstyle/simple5" qsCatId="simple" csTypeId="urn:microsoft.com/office/officeart/2005/8/colors/colorful1" csCatId="colorful" phldr="1"/>
      <dgm:spPr/>
      <dgm:t>
        <a:bodyPr/>
        <a:lstStyle/>
        <a:p>
          <a:endParaRPr lang="es-CO"/>
        </a:p>
      </dgm:t>
    </dgm:pt>
    <dgm:pt modelId="{05C5A3A9-E0D0-4010-8AF4-FDA7FA77ED1F}">
      <dgm:prSet custT="1"/>
      <dgm:spPr/>
      <dgm:t>
        <a:bodyPr/>
        <a:lstStyle/>
        <a:p>
          <a:pPr algn="ctr"/>
          <a:r>
            <a:rPr lang="es-CO" sz="600" b="1" i="0" baseline="0">
              <a:latin typeface="Arial" panose="020B0604020202020204" pitchFamily="34" charset="0"/>
              <a:cs typeface="Arial" panose="020B0604020202020204" pitchFamily="34" charset="0"/>
            </a:rPr>
            <a:t>LEY 670 DE 2001</a:t>
          </a:r>
          <a:r>
            <a:rPr lang="es-CO" sz="600" b="1">
              <a:latin typeface="Arial" panose="020B0604020202020204" pitchFamily="34" charset="0"/>
              <a:cs typeface="Arial" panose="020B0604020202020204" pitchFamily="34" charset="0"/>
            </a:rPr>
            <a:t>. </a:t>
          </a:r>
          <a:r>
            <a:rPr lang="es-CO" sz="600" b="0">
              <a:latin typeface="Arial" panose="020B0604020202020204" pitchFamily="34" charset="0"/>
              <a:cs typeface="Arial" panose="020B0604020202020204" pitchFamily="34" charset="0"/>
            </a:rPr>
            <a:t>P</a:t>
          </a:r>
          <a:r>
            <a:rPr lang="es-CO" sz="600" b="0" i="0" baseline="0">
              <a:latin typeface="Arial" panose="020B0604020202020204" pitchFamily="34" charset="0"/>
              <a:cs typeface="Arial" panose="020B0604020202020204" pitchFamily="34" charset="0"/>
            </a:rPr>
            <a:t>or medio de la cual se desarrolla parcialmente el artículo 44 de la Constitución Política para garantizar la vida, la integridad física y la recreación del niño expuesto al riesgo por el manejo de artículos pirotécnicos o explosivos.</a:t>
          </a:r>
          <a:endParaRPr lang="es-CO" sz="600" b="0">
            <a:latin typeface="Arial" panose="020B0604020202020204" pitchFamily="34" charset="0"/>
            <a:cs typeface="Arial" panose="020B0604020202020204" pitchFamily="34" charset="0"/>
          </a:endParaRPr>
        </a:p>
      </dgm:t>
    </dgm:pt>
    <dgm:pt modelId="{B0045060-F47C-4E52-BB24-D89E0B5CB3B9}" type="parTrans" cxnId="{65303982-BA4E-4E38-9D64-569FE1CBD27B}">
      <dgm:prSet/>
      <dgm:spPr/>
      <dgm:t>
        <a:bodyPr/>
        <a:lstStyle/>
        <a:p>
          <a:pPr algn="ctr"/>
          <a:endParaRPr lang="es-CO" sz="2000" b="1">
            <a:latin typeface="Arial Narrow" panose="020B0606020202030204" pitchFamily="34" charset="0"/>
          </a:endParaRPr>
        </a:p>
      </dgm:t>
    </dgm:pt>
    <dgm:pt modelId="{78A6475C-3BB8-4325-94E3-4086F3B438B4}" type="sibTrans" cxnId="{65303982-BA4E-4E38-9D64-569FE1CBD27B}">
      <dgm:prSet/>
      <dgm:spPr/>
      <dgm:t>
        <a:bodyPr/>
        <a:lstStyle/>
        <a:p>
          <a:pPr algn="ctr"/>
          <a:endParaRPr lang="es-CO" sz="2000" b="1">
            <a:latin typeface="Arial Narrow" panose="020B0606020202030204" pitchFamily="34" charset="0"/>
          </a:endParaRPr>
        </a:p>
      </dgm:t>
    </dgm:pt>
    <dgm:pt modelId="{108BE197-D7EC-4E6F-B707-3B770D40FF19}">
      <dgm:prSet custT="1"/>
      <dgm:spPr/>
      <dgm:t>
        <a:bodyPr/>
        <a:lstStyle/>
        <a:p>
          <a:pPr algn="ctr"/>
          <a:r>
            <a:rPr lang="es-CO" sz="600" b="1" i="0" baseline="0">
              <a:latin typeface="Arial" panose="020B0604020202020204" pitchFamily="34" charset="0"/>
              <a:cs typeface="Arial" panose="020B0604020202020204" pitchFamily="34" charset="0"/>
            </a:rPr>
            <a:t>LEY 1098 DE 2006. </a:t>
          </a:r>
          <a:r>
            <a:rPr lang="es-CO" sz="600" b="0" i="0" baseline="0">
              <a:latin typeface="Arial" panose="020B0604020202020204" pitchFamily="34" charset="0"/>
              <a:cs typeface="Arial" panose="020B0604020202020204" pitchFamily="34" charset="0"/>
            </a:rPr>
            <a:t>Por la cual se expide el Código de la Infancia y la Adolescencia.</a:t>
          </a:r>
          <a:endParaRPr lang="es-CO" sz="600" b="0">
            <a:latin typeface="Arial" panose="020B0604020202020204" pitchFamily="34" charset="0"/>
            <a:cs typeface="Arial" panose="020B0604020202020204" pitchFamily="34" charset="0"/>
          </a:endParaRPr>
        </a:p>
      </dgm:t>
    </dgm:pt>
    <dgm:pt modelId="{CF4877F8-B497-46B6-89FB-8BAF8106AFEA}" type="parTrans" cxnId="{BFED1BC0-A793-4657-91CC-5279BF7DF55D}">
      <dgm:prSet/>
      <dgm:spPr/>
      <dgm:t>
        <a:bodyPr/>
        <a:lstStyle/>
        <a:p>
          <a:pPr algn="ctr"/>
          <a:endParaRPr lang="es-CO" sz="2000" b="1">
            <a:latin typeface="Arial Narrow" panose="020B0606020202030204" pitchFamily="34" charset="0"/>
          </a:endParaRPr>
        </a:p>
      </dgm:t>
    </dgm:pt>
    <dgm:pt modelId="{D0D0F998-765D-4675-8C86-485002EFB716}" type="sibTrans" cxnId="{BFED1BC0-A793-4657-91CC-5279BF7DF55D}">
      <dgm:prSet/>
      <dgm:spPr/>
      <dgm:t>
        <a:bodyPr/>
        <a:lstStyle/>
        <a:p>
          <a:pPr algn="ctr"/>
          <a:endParaRPr lang="es-CO" sz="2000" b="1">
            <a:latin typeface="Arial Narrow" panose="020B0606020202030204" pitchFamily="34" charset="0"/>
          </a:endParaRPr>
        </a:p>
      </dgm:t>
    </dgm:pt>
    <dgm:pt modelId="{BE95AF48-B67E-4DD2-A3D0-D780F324F7A4}">
      <dgm:prSet custT="1"/>
      <dgm:spPr/>
      <dgm:t>
        <a:bodyPr/>
        <a:lstStyle/>
        <a:p>
          <a:pPr algn="ctr"/>
          <a:r>
            <a:rPr lang="es-CO" sz="600" b="1" i="0" baseline="0">
              <a:latin typeface="Arial" panose="020B0604020202020204" pitchFamily="34" charset="0"/>
              <a:cs typeface="Arial" panose="020B0604020202020204" pitchFamily="34" charset="0"/>
            </a:rPr>
            <a:t>LEY 1575 DE 2012. </a:t>
          </a:r>
          <a:r>
            <a:rPr lang="es-CO" sz="600" b="0" i="0" baseline="0">
              <a:latin typeface="Arial" panose="020B0604020202020204" pitchFamily="34" charset="0"/>
              <a:cs typeface="Arial" panose="020B0604020202020204" pitchFamily="34" charset="0"/>
            </a:rPr>
            <a:t>Por medio de la cual se establece la Ley General de Bomberos de Colombia</a:t>
          </a:r>
          <a:endParaRPr lang="es-CO" sz="600" b="0">
            <a:latin typeface="Arial" panose="020B0604020202020204" pitchFamily="34" charset="0"/>
            <a:cs typeface="Arial" panose="020B0604020202020204" pitchFamily="34" charset="0"/>
          </a:endParaRPr>
        </a:p>
      </dgm:t>
    </dgm:pt>
    <dgm:pt modelId="{F277A8DC-06A4-48B9-8000-ED274C1CA166}" type="parTrans" cxnId="{E05425C0-43F9-4CCE-A9A3-1CDD4CC80214}">
      <dgm:prSet/>
      <dgm:spPr/>
      <dgm:t>
        <a:bodyPr/>
        <a:lstStyle/>
        <a:p>
          <a:pPr algn="ctr"/>
          <a:endParaRPr lang="es-CO" sz="2000" b="1">
            <a:latin typeface="Arial Narrow" panose="020B0606020202030204" pitchFamily="34" charset="0"/>
          </a:endParaRPr>
        </a:p>
      </dgm:t>
    </dgm:pt>
    <dgm:pt modelId="{AC09BD56-6C00-44D6-A6A6-1A4E2C11CE29}" type="sibTrans" cxnId="{E05425C0-43F9-4CCE-A9A3-1CDD4CC80214}">
      <dgm:prSet/>
      <dgm:spPr/>
      <dgm:t>
        <a:bodyPr/>
        <a:lstStyle/>
        <a:p>
          <a:pPr algn="ctr"/>
          <a:endParaRPr lang="es-CO" sz="2000" b="1">
            <a:latin typeface="Arial Narrow" panose="020B0606020202030204" pitchFamily="34" charset="0"/>
          </a:endParaRPr>
        </a:p>
      </dgm:t>
    </dgm:pt>
    <dgm:pt modelId="{E4E6A075-B9FF-4FEB-A9C5-F0C5990547DD}">
      <dgm:prSet custT="1"/>
      <dgm:spPr/>
      <dgm:t>
        <a:bodyPr/>
        <a:lstStyle/>
        <a:p>
          <a:pPr algn="ctr"/>
          <a:r>
            <a:rPr lang="es-CO" sz="600" b="1">
              <a:latin typeface="Arial" panose="020B0604020202020204" pitchFamily="34" charset="0"/>
              <a:cs typeface="Arial" panose="020B0604020202020204" pitchFamily="34" charset="0"/>
            </a:rPr>
            <a:t>LEY 181 DE 2016.</a:t>
          </a:r>
          <a:r>
            <a:rPr lang="es-CO" sz="600" b="0">
              <a:latin typeface="Arial" panose="020B0604020202020204" pitchFamily="34" charset="0"/>
              <a:cs typeface="Arial" panose="020B0604020202020204" pitchFamily="34" charset="0"/>
            </a:rPr>
            <a:t> P</a:t>
          </a:r>
          <a:r>
            <a:rPr lang="es-CO" sz="600" b="0" i="0" baseline="0">
              <a:latin typeface="Arial" panose="020B0604020202020204" pitchFamily="34" charset="0"/>
              <a:cs typeface="Arial" panose="020B0604020202020204" pitchFamily="34" charset="0"/>
            </a:rPr>
            <a:t>or la cual se expide el Código Nacional de Seguridad y Convivencia Ciudadana.</a:t>
          </a:r>
          <a:endParaRPr lang="es-CO" sz="600" b="0">
            <a:latin typeface="Arial" panose="020B0604020202020204" pitchFamily="34" charset="0"/>
            <a:cs typeface="Arial" panose="020B0604020202020204" pitchFamily="34" charset="0"/>
          </a:endParaRPr>
        </a:p>
      </dgm:t>
    </dgm:pt>
    <dgm:pt modelId="{EFA2EBD8-8913-4A93-9DDD-BC467410E635}" type="parTrans" cxnId="{F0F441F8-5137-44A6-9553-7AA4E0800496}">
      <dgm:prSet/>
      <dgm:spPr/>
      <dgm:t>
        <a:bodyPr/>
        <a:lstStyle/>
        <a:p>
          <a:pPr algn="ctr"/>
          <a:endParaRPr lang="es-CO" sz="2000" b="1">
            <a:latin typeface="Arial Narrow" panose="020B0606020202030204" pitchFamily="34" charset="0"/>
          </a:endParaRPr>
        </a:p>
      </dgm:t>
    </dgm:pt>
    <dgm:pt modelId="{D71172DB-35FD-4920-81BF-C5301D634E42}" type="sibTrans" cxnId="{F0F441F8-5137-44A6-9553-7AA4E0800496}">
      <dgm:prSet/>
      <dgm:spPr/>
      <dgm:t>
        <a:bodyPr/>
        <a:lstStyle/>
        <a:p>
          <a:pPr algn="ctr"/>
          <a:endParaRPr lang="es-CO" sz="2000" b="1">
            <a:latin typeface="Arial Narrow" panose="020B0606020202030204" pitchFamily="34" charset="0"/>
          </a:endParaRPr>
        </a:p>
      </dgm:t>
    </dgm:pt>
    <dgm:pt modelId="{9131BD9B-8287-4612-A56A-589749AD5B8C}">
      <dgm:prSet custT="1"/>
      <dgm:spPr/>
      <dgm:t>
        <a:bodyPr/>
        <a:lstStyle/>
        <a:p>
          <a:pPr algn="ctr"/>
          <a:r>
            <a:rPr lang="es-CO" sz="600" b="1" i="0" baseline="0" dirty="0">
              <a:latin typeface="Arial" panose="020B0604020202020204" pitchFamily="34" charset="0"/>
              <a:cs typeface="Arial" panose="020B0604020202020204" pitchFamily="34" charset="0"/>
            </a:rPr>
            <a:t>LEY 2224 DE 2022</a:t>
          </a:r>
          <a:r>
            <a:rPr lang="es-CO" sz="600" b="1" dirty="0">
              <a:latin typeface="Arial" panose="020B0604020202020204" pitchFamily="34" charset="0"/>
              <a:cs typeface="Arial" panose="020B0604020202020204" pitchFamily="34" charset="0"/>
            </a:rPr>
            <a:t>. </a:t>
          </a:r>
          <a:r>
            <a:rPr lang="es-CO" sz="600" b="0" dirty="0">
              <a:latin typeface="Arial" panose="020B0604020202020204" pitchFamily="34" charset="0"/>
              <a:cs typeface="Arial" panose="020B0604020202020204" pitchFamily="34" charset="0"/>
            </a:rPr>
            <a:t>P</a:t>
          </a:r>
          <a:r>
            <a:rPr lang="es-CO" sz="600" b="0" i="0" baseline="0" dirty="0">
              <a:latin typeface="Arial" panose="020B0604020202020204" pitchFamily="34" charset="0"/>
              <a:cs typeface="Arial" panose="020B0604020202020204" pitchFamily="34" charset="0"/>
            </a:rPr>
            <a:t>or medio de la cual se garantizan los derechos fundamentales a la vida, la integridad física, la salud y la recreación de todos los habitantes en especial los niños, niñas y adolescentes en el territorio nacional mediante la regulación del uso, la fabricación, la manipulación, el transporte, el almacenamiento, la comercialización, la compra, la venta y el expendio de pólvora y productos pirotécnicos en el territorio nacional y se dictan otras disposiciones.</a:t>
          </a:r>
          <a:endParaRPr lang="es-CO" sz="600" b="0" dirty="0">
            <a:latin typeface="Arial" panose="020B0604020202020204" pitchFamily="34" charset="0"/>
            <a:cs typeface="Arial" panose="020B0604020202020204" pitchFamily="34" charset="0"/>
          </a:endParaRPr>
        </a:p>
      </dgm:t>
    </dgm:pt>
    <dgm:pt modelId="{47B76622-E8C5-46D4-A8DC-A4F8AF815621}" type="parTrans" cxnId="{64B811E8-9F07-4CD8-AEEA-A831BFD25521}">
      <dgm:prSet/>
      <dgm:spPr/>
      <dgm:t>
        <a:bodyPr/>
        <a:lstStyle/>
        <a:p>
          <a:pPr algn="ctr"/>
          <a:endParaRPr lang="es-CO" sz="2000" b="1">
            <a:latin typeface="Arial Narrow" panose="020B0606020202030204" pitchFamily="34" charset="0"/>
          </a:endParaRPr>
        </a:p>
      </dgm:t>
    </dgm:pt>
    <dgm:pt modelId="{FDB262D7-238C-4221-B92B-46E75FBC232E}" type="sibTrans" cxnId="{64B811E8-9F07-4CD8-AEEA-A831BFD25521}">
      <dgm:prSet/>
      <dgm:spPr/>
      <dgm:t>
        <a:bodyPr/>
        <a:lstStyle/>
        <a:p>
          <a:pPr algn="ctr"/>
          <a:endParaRPr lang="es-CO" sz="2000" b="1">
            <a:latin typeface="Arial Narrow" panose="020B0606020202030204" pitchFamily="34" charset="0"/>
          </a:endParaRPr>
        </a:p>
      </dgm:t>
    </dgm:pt>
    <dgm:pt modelId="{33319BFB-64E1-4475-A377-D48B546CFBF0}">
      <dgm:prSet custT="1"/>
      <dgm:spPr/>
      <dgm:t>
        <a:bodyPr/>
        <a:lstStyle/>
        <a:p>
          <a:pPr algn="ctr"/>
          <a:r>
            <a:rPr lang="es-CO" sz="600" b="1" i="0" baseline="0" dirty="0">
              <a:latin typeface="Arial" panose="020B0604020202020204" pitchFamily="34" charset="0"/>
              <a:cs typeface="Arial" panose="020B0604020202020204" pitchFamily="34" charset="0"/>
            </a:rPr>
            <a:t>DECRETO 2174 DE 2023</a:t>
          </a:r>
          <a:r>
            <a:rPr lang="es-CO" sz="600" b="1" dirty="0">
              <a:latin typeface="Arial" panose="020B0604020202020204" pitchFamily="34" charset="0"/>
              <a:cs typeface="Arial" panose="020B0604020202020204" pitchFamily="34" charset="0"/>
            </a:rPr>
            <a:t>. </a:t>
          </a:r>
          <a:r>
            <a:rPr lang="es-CO" sz="600" b="0" dirty="0">
              <a:latin typeface="Arial" panose="020B0604020202020204" pitchFamily="34" charset="0"/>
              <a:cs typeface="Arial" panose="020B0604020202020204" pitchFamily="34" charset="0"/>
            </a:rPr>
            <a:t>R</a:t>
          </a:r>
          <a:r>
            <a:rPr lang="es-CO" sz="600" b="0" i="0" baseline="0" dirty="0">
              <a:latin typeface="Arial" panose="020B0604020202020204" pitchFamily="34" charset="0"/>
              <a:cs typeface="Arial" panose="020B0604020202020204" pitchFamily="34" charset="0"/>
            </a:rPr>
            <a:t>equisitos para el uso, fabricación, manipulación, transporte, almacenamiento, comercialización, compra, venta de pólvora y productos pirotécnicos en el territorio nacional</a:t>
          </a:r>
          <a:endParaRPr lang="es-CO" sz="600" b="1" dirty="0">
            <a:latin typeface="Arial" panose="020B0604020202020204" pitchFamily="34" charset="0"/>
            <a:cs typeface="Arial" panose="020B0604020202020204" pitchFamily="34" charset="0"/>
          </a:endParaRPr>
        </a:p>
      </dgm:t>
    </dgm:pt>
    <dgm:pt modelId="{DF3C368F-96A0-4844-BA5B-64EF07EA0D97}" type="parTrans" cxnId="{CAD16B41-5B8D-4277-AF3F-BD473F5682AF}">
      <dgm:prSet/>
      <dgm:spPr/>
      <dgm:t>
        <a:bodyPr/>
        <a:lstStyle/>
        <a:p>
          <a:pPr algn="ctr"/>
          <a:endParaRPr lang="es-CO" sz="2000" b="1">
            <a:latin typeface="Arial Narrow" panose="020B0606020202030204" pitchFamily="34" charset="0"/>
          </a:endParaRPr>
        </a:p>
      </dgm:t>
    </dgm:pt>
    <dgm:pt modelId="{9CE72C64-EB24-4E24-A2F9-FE23FC094EC4}" type="sibTrans" cxnId="{CAD16B41-5B8D-4277-AF3F-BD473F5682AF}">
      <dgm:prSet/>
      <dgm:spPr/>
      <dgm:t>
        <a:bodyPr/>
        <a:lstStyle/>
        <a:p>
          <a:pPr algn="ctr"/>
          <a:endParaRPr lang="es-CO" sz="2000" b="1">
            <a:latin typeface="Arial Narrow" panose="020B0606020202030204" pitchFamily="34" charset="0"/>
          </a:endParaRPr>
        </a:p>
      </dgm:t>
    </dgm:pt>
    <dgm:pt modelId="{8A1A86DD-8DC0-4A56-B59A-B0CAD250EAF9}" type="pres">
      <dgm:prSet presAssocID="{B5890D2C-2283-4B6A-ADEC-024DDA7F8933}" presName="Name0" presStyleCnt="0">
        <dgm:presLayoutVars>
          <dgm:dir/>
          <dgm:resizeHandles val="exact"/>
        </dgm:presLayoutVars>
      </dgm:prSet>
      <dgm:spPr/>
    </dgm:pt>
    <dgm:pt modelId="{A00F86AF-82FE-4A0D-8A9B-27C6F8365E40}" type="pres">
      <dgm:prSet presAssocID="{B5890D2C-2283-4B6A-ADEC-024DDA7F8933}" presName="arrow" presStyleLbl="bgShp" presStyleIdx="0" presStyleCnt="1"/>
      <dgm:spPr/>
    </dgm:pt>
    <dgm:pt modelId="{D339F352-F6FF-44E0-AC2C-42F8C30F898F}" type="pres">
      <dgm:prSet presAssocID="{B5890D2C-2283-4B6A-ADEC-024DDA7F8933}" presName="points" presStyleCnt="0"/>
      <dgm:spPr/>
    </dgm:pt>
    <dgm:pt modelId="{4F5ED169-6151-4A24-8400-DA69AB0C8D3A}" type="pres">
      <dgm:prSet presAssocID="{05C5A3A9-E0D0-4010-8AF4-FDA7FA77ED1F}" presName="compositeA" presStyleCnt="0"/>
      <dgm:spPr/>
    </dgm:pt>
    <dgm:pt modelId="{DE5725F5-7B21-488A-A097-76185E8BD629}" type="pres">
      <dgm:prSet presAssocID="{05C5A3A9-E0D0-4010-8AF4-FDA7FA77ED1F}" presName="textA" presStyleLbl="revTx" presStyleIdx="0" presStyleCnt="6" custScaleX="188964">
        <dgm:presLayoutVars>
          <dgm:bulletEnabled val="1"/>
        </dgm:presLayoutVars>
      </dgm:prSet>
      <dgm:spPr/>
    </dgm:pt>
    <dgm:pt modelId="{F217FCD9-D03C-4793-BB40-E23AC8B1F869}" type="pres">
      <dgm:prSet presAssocID="{05C5A3A9-E0D0-4010-8AF4-FDA7FA77ED1F}" presName="circleA" presStyleLbl="node1" presStyleIdx="0" presStyleCnt="6"/>
      <dgm:spPr/>
    </dgm:pt>
    <dgm:pt modelId="{39973AB1-C720-4812-8007-EA071109AD5C}" type="pres">
      <dgm:prSet presAssocID="{05C5A3A9-E0D0-4010-8AF4-FDA7FA77ED1F}" presName="spaceA" presStyleCnt="0"/>
      <dgm:spPr/>
    </dgm:pt>
    <dgm:pt modelId="{D4DBB4A0-8424-4ACB-99F8-93196E7BCD7C}" type="pres">
      <dgm:prSet presAssocID="{78A6475C-3BB8-4325-94E3-4086F3B438B4}" presName="space" presStyleCnt="0"/>
      <dgm:spPr/>
    </dgm:pt>
    <dgm:pt modelId="{3022820D-028B-4909-B04F-584857B35279}" type="pres">
      <dgm:prSet presAssocID="{108BE197-D7EC-4E6F-B707-3B770D40FF19}" presName="compositeB" presStyleCnt="0"/>
      <dgm:spPr/>
    </dgm:pt>
    <dgm:pt modelId="{0EEC6155-3DCB-426C-9D44-4EE48D1A5095}" type="pres">
      <dgm:prSet presAssocID="{108BE197-D7EC-4E6F-B707-3B770D40FF19}" presName="textB" presStyleLbl="revTx" presStyleIdx="1" presStyleCnt="6" custScaleX="129414">
        <dgm:presLayoutVars>
          <dgm:bulletEnabled val="1"/>
        </dgm:presLayoutVars>
      </dgm:prSet>
      <dgm:spPr/>
    </dgm:pt>
    <dgm:pt modelId="{EC9E7150-5557-4B0D-AABE-9AC99329E54C}" type="pres">
      <dgm:prSet presAssocID="{108BE197-D7EC-4E6F-B707-3B770D40FF19}" presName="circleB" presStyleLbl="node1" presStyleIdx="1" presStyleCnt="6"/>
      <dgm:spPr/>
    </dgm:pt>
    <dgm:pt modelId="{A3E95DE5-5CDB-4114-999D-301EDDC84D55}" type="pres">
      <dgm:prSet presAssocID="{108BE197-D7EC-4E6F-B707-3B770D40FF19}" presName="spaceB" presStyleCnt="0"/>
      <dgm:spPr/>
    </dgm:pt>
    <dgm:pt modelId="{3916C911-3D51-4D60-885A-35B83C4659FE}" type="pres">
      <dgm:prSet presAssocID="{D0D0F998-765D-4675-8C86-485002EFB716}" presName="space" presStyleCnt="0"/>
      <dgm:spPr/>
    </dgm:pt>
    <dgm:pt modelId="{9BBDEC8E-C04B-4A31-81A0-18CAB5C56F24}" type="pres">
      <dgm:prSet presAssocID="{BE95AF48-B67E-4DD2-A3D0-D780F324F7A4}" presName="compositeA" presStyleCnt="0"/>
      <dgm:spPr/>
    </dgm:pt>
    <dgm:pt modelId="{22EB3427-882F-4B22-81CF-413C7317FA77}" type="pres">
      <dgm:prSet presAssocID="{BE95AF48-B67E-4DD2-A3D0-D780F324F7A4}" presName="textA" presStyleLbl="revTx" presStyleIdx="2" presStyleCnt="6" custScaleX="140686">
        <dgm:presLayoutVars>
          <dgm:bulletEnabled val="1"/>
        </dgm:presLayoutVars>
      </dgm:prSet>
      <dgm:spPr/>
    </dgm:pt>
    <dgm:pt modelId="{FC1FD182-F837-4611-95E5-8F17D05AFA73}" type="pres">
      <dgm:prSet presAssocID="{BE95AF48-B67E-4DD2-A3D0-D780F324F7A4}" presName="circleA" presStyleLbl="node1" presStyleIdx="2" presStyleCnt="6"/>
      <dgm:spPr/>
    </dgm:pt>
    <dgm:pt modelId="{4C633E06-DB1A-4087-8EB9-65883501A7C9}" type="pres">
      <dgm:prSet presAssocID="{BE95AF48-B67E-4DD2-A3D0-D780F324F7A4}" presName="spaceA" presStyleCnt="0"/>
      <dgm:spPr/>
    </dgm:pt>
    <dgm:pt modelId="{9159368F-7F7E-4631-BFA6-00F25F9B980C}" type="pres">
      <dgm:prSet presAssocID="{AC09BD56-6C00-44D6-A6A6-1A4E2C11CE29}" presName="space" presStyleCnt="0"/>
      <dgm:spPr/>
    </dgm:pt>
    <dgm:pt modelId="{B87D83D6-2464-4FD8-A90D-D31D25B21E29}" type="pres">
      <dgm:prSet presAssocID="{E4E6A075-B9FF-4FEB-A9C5-F0C5990547DD}" presName="compositeB" presStyleCnt="0"/>
      <dgm:spPr/>
    </dgm:pt>
    <dgm:pt modelId="{12D71BBC-D1AB-4DE1-B85C-9D515B30CC65}" type="pres">
      <dgm:prSet presAssocID="{E4E6A075-B9FF-4FEB-A9C5-F0C5990547DD}" presName="textB" presStyleLbl="revTx" presStyleIdx="3" presStyleCnt="6" custScaleX="150429">
        <dgm:presLayoutVars>
          <dgm:bulletEnabled val="1"/>
        </dgm:presLayoutVars>
      </dgm:prSet>
      <dgm:spPr/>
    </dgm:pt>
    <dgm:pt modelId="{7017B2D9-D18A-49B3-9682-D423BBFBC506}" type="pres">
      <dgm:prSet presAssocID="{E4E6A075-B9FF-4FEB-A9C5-F0C5990547DD}" presName="circleB" presStyleLbl="node1" presStyleIdx="3" presStyleCnt="6"/>
      <dgm:spPr/>
    </dgm:pt>
    <dgm:pt modelId="{1B0A4C1A-814F-4A21-B83F-97B4BBC5C2A1}" type="pres">
      <dgm:prSet presAssocID="{E4E6A075-B9FF-4FEB-A9C5-F0C5990547DD}" presName="spaceB" presStyleCnt="0"/>
      <dgm:spPr/>
    </dgm:pt>
    <dgm:pt modelId="{88641176-D612-40A2-BB59-8AF0E81A3A22}" type="pres">
      <dgm:prSet presAssocID="{D71172DB-35FD-4920-81BF-C5301D634E42}" presName="space" presStyleCnt="0"/>
      <dgm:spPr/>
    </dgm:pt>
    <dgm:pt modelId="{6C3465E2-248A-4B4A-A0A6-9DC3F01AE090}" type="pres">
      <dgm:prSet presAssocID="{9131BD9B-8287-4612-A56A-589749AD5B8C}" presName="compositeA" presStyleCnt="0"/>
      <dgm:spPr/>
    </dgm:pt>
    <dgm:pt modelId="{E9D7417E-B7B7-44EA-9029-9FDBDC1C1DD3}" type="pres">
      <dgm:prSet presAssocID="{9131BD9B-8287-4612-A56A-589749AD5B8C}" presName="textA" presStyleLbl="revTx" presStyleIdx="4" presStyleCnt="6" custScaleX="243592">
        <dgm:presLayoutVars>
          <dgm:bulletEnabled val="1"/>
        </dgm:presLayoutVars>
      </dgm:prSet>
      <dgm:spPr/>
    </dgm:pt>
    <dgm:pt modelId="{EADD79B7-2DBA-44AD-9A56-982704B903D8}" type="pres">
      <dgm:prSet presAssocID="{9131BD9B-8287-4612-A56A-589749AD5B8C}" presName="circleA" presStyleLbl="node1" presStyleIdx="4" presStyleCnt="6"/>
      <dgm:spPr/>
    </dgm:pt>
    <dgm:pt modelId="{BA7A171D-E813-4605-BB82-9E890F4B9003}" type="pres">
      <dgm:prSet presAssocID="{9131BD9B-8287-4612-A56A-589749AD5B8C}" presName="spaceA" presStyleCnt="0"/>
      <dgm:spPr/>
    </dgm:pt>
    <dgm:pt modelId="{F1B173FE-01E2-46E5-B475-E4BD7FD2C32F}" type="pres">
      <dgm:prSet presAssocID="{FDB262D7-238C-4221-B92B-46E75FBC232E}" presName="space" presStyleCnt="0"/>
      <dgm:spPr/>
    </dgm:pt>
    <dgm:pt modelId="{66C25D3C-171D-497E-B958-7FBB20099CDA}" type="pres">
      <dgm:prSet presAssocID="{33319BFB-64E1-4475-A377-D48B546CFBF0}" presName="compositeB" presStyleCnt="0"/>
      <dgm:spPr/>
    </dgm:pt>
    <dgm:pt modelId="{EA43D024-6A65-44CD-8256-DDF85053F9F1}" type="pres">
      <dgm:prSet presAssocID="{33319BFB-64E1-4475-A377-D48B546CFBF0}" presName="textB" presStyleLbl="revTx" presStyleIdx="5" presStyleCnt="6" custScaleX="186717">
        <dgm:presLayoutVars>
          <dgm:bulletEnabled val="1"/>
        </dgm:presLayoutVars>
      </dgm:prSet>
      <dgm:spPr/>
    </dgm:pt>
    <dgm:pt modelId="{3419036F-E01D-4A00-940B-30A02244CDB2}" type="pres">
      <dgm:prSet presAssocID="{33319BFB-64E1-4475-A377-D48B546CFBF0}" presName="circleB" presStyleLbl="node1" presStyleIdx="5" presStyleCnt="6"/>
      <dgm:spPr/>
    </dgm:pt>
    <dgm:pt modelId="{17980D3C-2B15-4546-9371-8E38E3492C2D}" type="pres">
      <dgm:prSet presAssocID="{33319BFB-64E1-4475-A377-D48B546CFBF0}" presName="spaceB" presStyleCnt="0"/>
      <dgm:spPr/>
    </dgm:pt>
  </dgm:ptLst>
  <dgm:cxnLst>
    <dgm:cxn modelId="{7A0B941F-7556-4E4E-A4BF-51F7648B9D23}" type="presOf" srcId="{05C5A3A9-E0D0-4010-8AF4-FDA7FA77ED1F}" destId="{DE5725F5-7B21-488A-A097-76185E8BD629}" srcOrd="0" destOrd="0" presId="urn:microsoft.com/office/officeart/2005/8/layout/hProcess11"/>
    <dgm:cxn modelId="{CAD16B41-5B8D-4277-AF3F-BD473F5682AF}" srcId="{B5890D2C-2283-4B6A-ADEC-024DDA7F8933}" destId="{33319BFB-64E1-4475-A377-D48B546CFBF0}" srcOrd="5" destOrd="0" parTransId="{DF3C368F-96A0-4844-BA5B-64EF07EA0D97}" sibTransId="{9CE72C64-EB24-4E24-A2F9-FE23FC094EC4}"/>
    <dgm:cxn modelId="{AD080375-8840-4D82-BDD6-90C27DA08150}" type="presOf" srcId="{B5890D2C-2283-4B6A-ADEC-024DDA7F8933}" destId="{8A1A86DD-8DC0-4A56-B59A-B0CAD250EAF9}" srcOrd="0" destOrd="0" presId="urn:microsoft.com/office/officeart/2005/8/layout/hProcess11"/>
    <dgm:cxn modelId="{65303982-BA4E-4E38-9D64-569FE1CBD27B}" srcId="{B5890D2C-2283-4B6A-ADEC-024DDA7F8933}" destId="{05C5A3A9-E0D0-4010-8AF4-FDA7FA77ED1F}" srcOrd="0" destOrd="0" parTransId="{B0045060-F47C-4E52-BB24-D89E0B5CB3B9}" sibTransId="{78A6475C-3BB8-4325-94E3-4086F3B438B4}"/>
    <dgm:cxn modelId="{7628608A-F4D3-4A16-83F9-477A4BD27AEA}" type="presOf" srcId="{9131BD9B-8287-4612-A56A-589749AD5B8C}" destId="{E9D7417E-B7B7-44EA-9029-9FDBDC1C1DD3}" srcOrd="0" destOrd="0" presId="urn:microsoft.com/office/officeart/2005/8/layout/hProcess11"/>
    <dgm:cxn modelId="{A1CFC690-3560-4404-849F-29C37119CC87}" type="presOf" srcId="{33319BFB-64E1-4475-A377-D48B546CFBF0}" destId="{EA43D024-6A65-44CD-8256-DDF85053F9F1}" srcOrd="0" destOrd="0" presId="urn:microsoft.com/office/officeart/2005/8/layout/hProcess11"/>
    <dgm:cxn modelId="{D429E298-3EAC-40AD-A4E9-AE9FBAE9AA92}" type="presOf" srcId="{108BE197-D7EC-4E6F-B707-3B770D40FF19}" destId="{0EEC6155-3DCB-426C-9D44-4EE48D1A5095}" srcOrd="0" destOrd="0" presId="urn:microsoft.com/office/officeart/2005/8/layout/hProcess11"/>
    <dgm:cxn modelId="{BFED1BC0-A793-4657-91CC-5279BF7DF55D}" srcId="{B5890D2C-2283-4B6A-ADEC-024DDA7F8933}" destId="{108BE197-D7EC-4E6F-B707-3B770D40FF19}" srcOrd="1" destOrd="0" parTransId="{CF4877F8-B497-46B6-89FB-8BAF8106AFEA}" sibTransId="{D0D0F998-765D-4675-8C86-485002EFB716}"/>
    <dgm:cxn modelId="{E05425C0-43F9-4CCE-A9A3-1CDD4CC80214}" srcId="{B5890D2C-2283-4B6A-ADEC-024DDA7F8933}" destId="{BE95AF48-B67E-4DD2-A3D0-D780F324F7A4}" srcOrd="2" destOrd="0" parTransId="{F277A8DC-06A4-48B9-8000-ED274C1CA166}" sibTransId="{AC09BD56-6C00-44D6-A6A6-1A4E2C11CE29}"/>
    <dgm:cxn modelId="{00600CD0-121C-4C74-BA18-59648DAACAEB}" type="presOf" srcId="{BE95AF48-B67E-4DD2-A3D0-D780F324F7A4}" destId="{22EB3427-882F-4B22-81CF-413C7317FA77}" srcOrd="0" destOrd="0" presId="urn:microsoft.com/office/officeart/2005/8/layout/hProcess11"/>
    <dgm:cxn modelId="{64B811E8-9F07-4CD8-AEEA-A831BFD25521}" srcId="{B5890D2C-2283-4B6A-ADEC-024DDA7F8933}" destId="{9131BD9B-8287-4612-A56A-589749AD5B8C}" srcOrd="4" destOrd="0" parTransId="{47B76622-E8C5-46D4-A8DC-A4F8AF815621}" sibTransId="{FDB262D7-238C-4221-B92B-46E75FBC232E}"/>
    <dgm:cxn modelId="{872694EC-4480-4A55-A97C-4AFFD19FD0BF}" type="presOf" srcId="{E4E6A075-B9FF-4FEB-A9C5-F0C5990547DD}" destId="{12D71BBC-D1AB-4DE1-B85C-9D515B30CC65}" srcOrd="0" destOrd="0" presId="urn:microsoft.com/office/officeart/2005/8/layout/hProcess11"/>
    <dgm:cxn modelId="{F0F441F8-5137-44A6-9553-7AA4E0800496}" srcId="{B5890D2C-2283-4B6A-ADEC-024DDA7F8933}" destId="{E4E6A075-B9FF-4FEB-A9C5-F0C5990547DD}" srcOrd="3" destOrd="0" parTransId="{EFA2EBD8-8913-4A93-9DDD-BC467410E635}" sibTransId="{D71172DB-35FD-4920-81BF-C5301D634E42}"/>
    <dgm:cxn modelId="{53FAC7AC-FC0E-40D1-A3EA-4D27E6A8928E}" type="presParOf" srcId="{8A1A86DD-8DC0-4A56-B59A-B0CAD250EAF9}" destId="{A00F86AF-82FE-4A0D-8A9B-27C6F8365E40}" srcOrd="0" destOrd="0" presId="urn:microsoft.com/office/officeart/2005/8/layout/hProcess11"/>
    <dgm:cxn modelId="{CB6C210B-E6EC-4307-994B-AF2F129D589F}" type="presParOf" srcId="{8A1A86DD-8DC0-4A56-B59A-B0CAD250EAF9}" destId="{D339F352-F6FF-44E0-AC2C-42F8C30F898F}" srcOrd="1" destOrd="0" presId="urn:microsoft.com/office/officeart/2005/8/layout/hProcess11"/>
    <dgm:cxn modelId="{3D97B4D8-4CE7-4DFE-A77C-84EA168D67B3}" type="presParOf" srcId="{D339F352-F6FF-44E0-AC2C-42F8C30F898F}" destId="{4F5ED169-6151-4A24-8400-DA69AB0C8D3A}" srcOrd="0" destOrd="0" presId="urn:microsoft.com/office/officeart/2005/8/layout/hProcess11"/>
    <dgm:cxn modelId="{47E13382-5150-47CC-914E-318E7EB2A7E7}" type="presParOf" srcId="{4F5ED169-6151-4A24-8400-DA69AB0C8D3A}" destId="{DE5725F5-7B21-488A-A097-76185E8BD629}" srcOrd="0" destOrd="0" presId="urn:microsoft.com/office/officeart/2005/8/layout/hProcess11"/>
    <dgm:cxn modelId="{DFC9B970-1E65-4C94-9B70-6ED0AE6E00D0}" type="presParOf" srcId="{4F5ED169-6151-4A24-8400-DA69AB0C8D3A}" destId="{F217FCD9-D03C-4793-BB40-E23AC8B1F869}" srcOrd="1" destOrd="0" presId="urn:microsoft.com/office/officeart/2005/8/layout/hProcess11"/>
    <dgm:cxn modelId="{FD93BF1D-221A-44CB-BB5C-E3803EF4B926}" type="presParOf" srcId="{4F5ED169-6151-4A24-8400-DA69AB0C8D3A}" destId="{39973AB1-C720-4812-8007-EA071109AD5C}" srcOrd="2" destOrd="0" presId="urn:microsoft.com/office/officeart/2005/8/layout/hProcess11"/>
    <dgm:cxn modelId="{F8EDE848-9E99-41E0-9E30-9F293C1788D6}" type="presParOf" srcId="{D339F352-F6FF-44E0-AC2C-42F8C30F898F}" destId="{D4DBB4A0-8424-4ACB-99F8-93196E7BCD7C}" srcOrd="1" destOrd="0" presId="urn:microsoft.com/office/officeart/2005/8/layout/hProcess11"/>
    <dgm:cxn modelId="{58F09ABD-4C30-47DD-B715-98732AC773D0}" type="presParOf" srcId="{D339F352-F6FF-44E0-AC2C-42F8C30F898F}" destId="{3022820D-028B-4909-B04F-584857B35279}" srcOrd="2" destOrd="0" presId="urn:microsoft.com/office/officeart/2005/8/layout/hProcess11"/>
    <dgm:cxn modelId="{C45CB862-A824-4B39-BFD5-F19D423A0CB5}" type="presParOf" srcId="{3022820D-028B-4909-B04F-584857B35279}" destId="{0EEC6155-3DCB-426C-9D44-4EE48D1A5095}" srcOrd="0" destOrd="0" presId="urn:microsoft.com/office/officeart/2005/8/layout/hProcess11"/>
    <dgm:cxn modelId="{77D3D420-8D04-445A-9333-FA33F7E13C0C}" type="presParOf" srcId="{3022820D-028B-4909-B04F-584857B35279}" destId="{EC9E7150-5557-4B0D-AABE-9AC99329E54C}" srcOrd="1" destOrd="0" presId="urn:microsoft.com/office/officeart/2005/8/layout/hProcess11"/>
    <dgm:cxn modelId="{38CF15B3-A827-4B52-93B9-0E2944D485D2}" type="presParOf" srcId="{3022820D-028B-4909-B04F-584857B35279}" destId="{A3E95DE5-5CDB-4114-999D-301EDDC84D55}" srcOrd="2" destOrd="0" presId="urn:microsoft.com/office/officeart/2005/8/layout/hProcess11"/>
    <dgm:cxn modelId="{2D763A47-5CE5-47D0-B003-B2D343C890FA}" type="presParOf" srcId="{D339F352-F6FF-44E0-AC2C-42F8C30F898F}" destId="{3916C911-3D51-4D60-885A-35B83C4659FE}" srcOrd="3" destOrd="0" presId="urn:microsoft.com/office/officeart/2005/8/layout/hProcess11"/>
    <dgm:cxn modelId="{A7BCEDEE-F521-4AED-8741-1BF1C3A0CAB4}" type="presParOf" srcId="{D339F352-F6FF-44E0-AC2C-42F8C30F898F}" destId="{9BBDEC8E-C04B-4A31-81A0-18CAB5C56F24}" srcOrd="4" destOrd="0" presId="urn:microsoft.com/office/officeart/2005/8/layout/hProcess11"/>
    <dgm:cxn modelId="{00E04D60-B9FF-4F71-9755-10EFBB2A0404}" type="presParOf" srcId="{9BBDEC8E-C04B-4A31-81A0-18CAB5C56F24}" destId="{22EB3427-882F-4B22-81CF-413C7317FA77}" srcOrd="0" destOrd="0" presId="urn:microsoft.com/office/officeart/2005/8/layout/hProcess11"/>
    <dgm:cxn modelId="{F085D16A-8192-4152-A0B0-2CBEAAAAA967}" type="presParOf" srcId="{9BBDEC8E-C04B-4A31-81A0-18CAB5C56F24}" destId="{FC1FD182-F837-4611-95E5-8F17D05AFA73}" srcOrd="1" destOrd="0" presId="urn:microsoft.com/office/officeart/2005/8/layout/hProcess11"/>
    <dgm:cxn modelId="{F18373AC-357A-4930-9204-973314A968CF}" type="presParOf" srcId="{9BBDEC8E-C04B-4A31-81A0-18CAB5C56F24}" destId="{4C633E06-DB1A-4087-8EB9-65883501A7C9}" srcOrd="2" destOrd="0" presId="urn:microsoft.com/office/officeart/2005/8/layout/hProcess11"/>
    <dgm:cxn modelId="{F002942A-822E-4D6C-BC70-9F8E6855FC93}" type="presParOf" srcId="{D339F352-F6FF-44E0-AC2C-42F8C30F898F}" destId="{9159368F-7F7E-4631-BFA6-00F25F9B980C}" srcOrd="5" destOrd="0" presId="urn:microsoft.com/office/officeart/2005/8/layout/hProcess11"/>
    <dgm:cxn modelId="{01272928-BE79-440C-8606-874F0A047787}" type="presParOf" srcId="{D339F352-F6FF-44E0-AC2C-42F8C30F898F}" destId="{B87D83D6-2464-4FD8-A90D-D31D25B21E29}" srcOrd="6" destOrd="0" presId="urn:microsoft.com/office/officeart/2005/8/layout/hProcess11"/>
    <dgm:cxn modelId="{FD26C37C-A8B7-4504-A37D-0375D28520FE}" type="presParOf" srcId="{B87D83D6-2464-4FD8-A90D-D31D25B21E29}" destId="{12D71BBC-D1AB-4DE1-B85C-9D515B30CC65}" srcOrd="0" destOrd="0" presId="urn:microsoft.com/office/officeart/2005/8/layout/hProcess11"/>
    <dgm:cxn modelId="{931F0319-E9D0-4270-830E-59C8E0D1BF17}" type="presParOf" srcId="{B87D83D6-2464-4FD8-A90D-D31D25B21E29}" destId="{7017B2D9-D18A-49B3-9682-D423BBFBC506}" srcOrd="1" destOrd="0" presId="urn:microsoft.com/office/officeart/2005/8/layout/hProcess11"/>
    <dgm:cxn modelId="{0AC3E005-CF61-4212-8BC1-B6B15309740A}" type="presParOf" srcId="{B87D83D6-2464-4FD8-A90D-D31D25B21E29}" destId="{1B0A4C1A-814F-4A21-B83F-97B4BBC5C2A1}" srcOrd="2" destOrd="0" presId="urn:microsoft.com/office/officeart/2005/8/layout/hProcess11"/>
    <dgm:cxn modelId="{598D3F5F-9AAD-4E73-84D5-36AC2ABA9EE0}" type="presParOf" srcId="{D339F352-F6FF-44E0-AC2C-42F8C30F898F}" destId="{88641176-D612-40A2-BB59-8AF0E81A3A22}" srcOrd="7" destOrd="0" presId="urn:microsoft.com/office/officeart/2005/8/layout/hProcess11"/>
    <dgm:cxn modelId="{C77EF8CE-CD8B-4C80-AE7A-2F68F51F07A7}" type="presParOf" srcId="{D339F352-F6FF-44E0-AC2C-42F8C30F898F}" destId="{6C3465E2-248A-4B4A-A0A6-9DC3F01AE090}" srcOrd="8" destOrd="0" presId="urn:microsoft.com/office/officeart/2005/8/layout/hProcess11"/>
    <dgm:cxn modelId="{7DDA9C7E-DEEB-44BB-93A1-670665F49653}" type="presParOf" srcId="{6C3465E2-248A-4B4A-A0A6-9DC3F01AE090}" destId="{E9D7417E-B7B7-44EA-9029-9FDBDC1C1DD3}" srcOrd="0" destOrd="0" presId="urn:microsoft.com/office/officeart/2005/8/layout/hProcess11"/>
    <dgm:cxn modelId="{48B7B51C-A1B7-444A-A646-801449B7E251}" type="presParOf" srcId="{6C3465E2-248A-4B4A-A0A6-9DC3F01AE090}" destId="{EADD79B7-2DBA-44AD-9A56-982704B903D8}" srcOrd="1" destOrd="0" presId="urn:microsoft.com/office/officeart/2005/8/layout/hProcess11"/>
    <dgm:cxn modelId="{55D3DA32-513D-4813-8E8E-1E52494CF1CC}" type="presParOf" srcId="{6C3465E2-248A-4B4A-A0A6-9DC3F01AE090}" destId="{BA7A171D-E813-4605-BB82-9E890F4B9003}" srcOrd="2" destOrd="0" presId="urn:microsoft.com/office/officeart/2005/8/layout/hProcess11"/>
    <dgm:cxn modelId="{E000779F-0CF9-4AC5-BEB4-582C1781B762}" type="presParOf" srcId="{D339F352-F6FF-44E0-AC2C-42F8C30F898F}" destId="{F1B173FE-01E2-46E5-B475-E4BD7FD2C32F}" srcOrd="9" destOrd="0" presId="urn:microsoft.com/office/officeart/2005/8/layout/hProcess11"/>
    <dgm:cxn modelId="{C740984A-EA0A-4447-9AE5-9A70C678DC21}" type="presParOf" srcId="{D339F352-F6FF-44E0-AC2C-42F8C30F898F}" destId="{66C25D3C-171D-497E-B958-7FBB20099CDA}" srcOrd="10" destOrd="0" presId="urn:microsoft.com/office/officeart/2005/8/layout/hProcess11"/>
    <dgm:cxn modelId="{5D9F75E2-465D-4133-B17D-ACDB917F5671}" type="presParOf" srcId="{66C25D3C-171D-497E-B958-7FBB20099CDA}" destId="{EA43D024-6A65-44CD-8256-DDF85053F9F1}" srcOrd="0" destOrd="0" presId="urn:microsoft.com/office/officeart/2005/8/layout/hProcess11"/>
    <dgm:cxn modelId="{5AF887AD-B66D-4662-835F-F094E36942E2}" type="presParOf" srcId="{66C25D3C-171D-497E-B958-7FBB20099CDA}" destId="{3419036F-E01D-4A00-940B-30A02244CDB2}" srcOrd="1" destOrd="0" presId="urn:microsoft.com/office/officeart/2005/8/layout/hProcess11"/>
    <dgm:cxn modelId="{3B81F1FF-9632-46D7-8686-B45613BFA522}" type="presParOf" srcId="{66C25D3C-171D-497E-B958-7FBB20099CDA}" destId="{17980D3C-2B15-4546-9371-8E38E3492C2D}"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F86AF-82FE-4A0D-8A9B-27C6F8365E40}">
      <dsp:nvSpPr>
        <dsp:cNvPr id="0" name=""/>
        <dsp:cNvSpPr/>
      </dsp:nvSpPr>
      <dsp:spPr>
        <a:xfrm>
          <a:off x="0" y="829818"/>
          <a:ext cx="5728625" cy="1106424"/>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DE5725F5-7B21-488A-A097-76185E8BD629}">
      <dsp:nvSpPr>
        <dsp:cNvPr id="0" name=""/>
        <dsp:cNvSpPr/>
      </dsp:nvSpPr>
      <dsp:spPr>
        <a:xfrm>
          <a:off x="1155" y="0"/>
          <a:ext cx="914551" cy="11064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es-CO" sz="600" b="1" i="0" kern="1200" baseline="0">
              <a:latin typeface="Arial" panose="020B0604020202020204" pitchFamily="34" charset="0"/>
              <a:cs typeface="Arial" panose="020B0604020202020204" pitchFamily="34" charset="0"/>
            </a:rPr>
            <a:t>LEY 670 DE 2001</a:t>
          </a:r>
          <a:r>
            <a:rPr lang="es-CO" sz="600" b="1" kern="1200">
              <a:latin typeface="Arial" panose="020B0604020202020204" pitchFamily="34" charset="0"/>
              <a:cs typeface="Arial" panose="020B0604020202020204" pitchFamily="34" charset="0"/>
            </a:rPr>
            <a:t>. </a:t>
          </a:r>
          <a:r>
            <a:rPr lang="es-CO" sz="600" b="0" kern="1200">
              <a:latin typeface="Arial" panose="020B0604020202020204" pitchFamily="34" charset="0"/>
              <a:cs typeface="Arial" panose="020B0604020202020204" pitchFamily="34" charset="0"/>
            </a:rPr>
            <a:t>P</a:t>
          </a:r>
          <a:r>
            <a:rPr lang="es-CO" sz="600" b="0" i="0" kern="1200" baseline="0">
              <a:latin typeface="Arial" panose="020B0604020202020204" pitchFamily="34" charset="0"/>
              <a:cs typeface="Arial" panose="020B0604020202020204" pitchFamily="34" charset="0"/>
            </a:rPr>
            <a:t>or medio de la cual se desarrolla parcialmente el artículo 44 de la Constitución Política para garantizar la vida, la integridad física y la recreación del niño expuesto al riesgo por el manejo de artículos pirotécnicos o explosivos.</a:t>
          </a:r>
          <a:endParaRPr lang="es-CO" sz="600" b="0" kern="1200">
            <a:latin typeface="Arial" panose="020B0604020202020204" pitchFamily="34" charset="0"/>
            <a:cs typeface="Arial" panose="020B0604020202020204" pitchFamily="34" charset="0"/>
          </a:endParaRPr>
        </a:p>
      </dsp:txBody>
      <dsp:txXfrm>
        <a:off x="1155" y="0"/>
        <a:ext cx="914551" cy="1106424"/>
      </dsp:txXfrm>
    </dsp:sp>
    <dsp:sp modelId="{F217FCD9-D03C-4793-BB40-E23AC8B1F869}">
      <dsp:nvSpPr>
        <dsp:cNvPr id="0" name=""/>
        <dsp:cNvSpPr/>
      </dsp:nvSpPr>
      <dsp:spPr>
        <a:xfrm>
          <a:off x="320128" y="1244727"/>
          <a:ext cx="276606" cy="276606"/>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0EEC6155-3DCB-426C-9D44-4EE48D1A5095}">
      <dsp:nvSpPr>
        <dsp:cNvPr id="0" name=""/>
        <dsp:cNvSpPr/>
      </dsp:nvSpPr>
      <dsp:spPr>
        <a:xfrm>
          <a:off x="939906" y="1659636"/>
          <a:ext cx="626340" cy="11064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es-CO" sz="600" b="1" i="0" kern="1200" baseline="0">
              <a:latin typeface="Arial" panose="020B0604020202020204" pitchFamily="34" charset="0"/>
              <a:cs typeface="Arial" panose="020B0604020202020204" pitchFamily="34" charset="0"/>
            </a:rPr>
            <a:t>LEY 1098 DE 2006. </a:t>
          </a:r>
          <a:r>
            <a:rPr lang="es-CO" sz="600" b="0" i="0" kern="1200" baseline="0">
              <a:latin typeface="Arial" panose="020B0604020202020204" pitchFamily="34" charset="0"/>
              <a:cs typeface="Arial" panose="020B0604020202020204" pitchFamily="34" charset="0"/>
            </a:rPr>
            <a:t>Por la cual se expide el Código de la Infancia y la Adolescencia.</a:t>
          </a:r>
          <a:endParaRPr lang="es-CO" sz="600" b="0" kern="1200">
            <a:latin typeface="Arial" panose="020B0604020202020204" pitchFamily="34" charset="0"/>
            <a:cs typeface="Arial" panose="020B0604020202020204" pitchFamily="34" charset="0"/>
          </a:endParaRPr>
        </a:p>
      </dsp:txBody>
      <dsp:txXfrm>
        <a:off x="939906" y="1659636"/>
        <a:ext cx="626340" cy="1106424"/>
      </dsp:txXfrm>
    </dsp:sp>
    <dsp:sp modelId="{EC9E7150-5557-4B0D-AABE-9AC99329E54C}">
      <dsp:nvSpPr>
        <dsp:cNvPr id="0" name=""/>
        <dsp:cNvSpPr/>
      </dsp:nvSpPr>
      <dsp:spPr>
        <a:xfrm>
          <a:off x="1114774" y="1244727"/>
          <a:ext cx="276606" cy="276606"/>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22EB3427-882F-4B22-81CF-413C7317FA77}">
      <dsp:nvSpPr>
        <dsp:cNvPr id="0" name=""/>
        <dsp:cNvSpPr/>
      </dsp:nvSpPr>
      <dsp:spPr>
        <a:xfrm>
          <a:off x="1590446" y="0"/>
          <a:ext cx="680895" cy="11064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es-CO" sz="600" b="1" i="0" kern="1200" baseline="0">
              <a:latin typeface="Arial" panose="020B0604020202020204" pitchFamily="34" charset="0"/>
              <a:cs typeface="Arial" panose="020B0604020202020204" pitchFamily="34" charset="0"/>
            </a:rPr>
            <a:t>LEY 1575 DE 2012. </a:t>
          </a:r>
          <a:r>
            <a:rPr lang="es-CO" sz="600" b="0" i="0" kern="1200" baseline="0">
              <a:latin typeface="Arial" panose="020B0604020202020204" pitchFamily="34" charset="0"/>
              <a:cs typeface="Arial" panose="020B0604020202020204" pitchFamily="34" charset="0"/>
            </a:rPr>
            <a:t>Por medio de la cual se establece la Ley General de Bomberos de Colombia</a:t>
          </a:r>
          <a:endParaRPr lang="es-CO" sz="600" b="0" kern="1200">
            <a:latin typeface="Arial" panose="020B0604020202020204" pitchFamily="34" charset="0"/>
            <a:cs typeface="Arial" panose="020B0604020202020204" pitchFamily="34" charset="0"/>
          </a:endParaRPr>
        </a:p>
      </dsp:txBody>
      <dsp:txXfrm>
        <a:off x="1590446" y="0"/>
        <a:ext cx="680895" cy="1106424"/>
      </dsp:txXfrm>
    </dsp:sp>
    <dsp:sp modelId="{FC1FD182-F837-4611-95E5-8F17D05AFA73}">
      <dsp:nvSpPr>
        <dsp:cNvPr id="0" name=""/>
        <dsp:cNvSpPr/>
      </dsp:nvSpPr>
      <dsp:spPr>
        <a:xfrm>
          <a:off x="1792590" y="1244727"/>
          <a:ext cx="276606" cy="276606"/>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12D71BBC-D1AB-4DE1-B85C-9D515B30CC65}">
      <dsp:nvSpPr>
        <dsp:cNvPr id="0" name=""/>
        <dsp:cNvSpPr/>
      </dsp:nvSpPr>
      <dsp:spPr>
        <a:xfrm>
          <a:off x="2295540" y="1659636"/>
          <a:ext cx="728049" cy="11064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es-CO" sz="600" b="1" kern="1200">
              <a:latin typeface="Arial" panose="020B0604020202020204" pitchFamily="34" charset="0"/>
              <a:cs typeface="Arial" panose="020B0604020202020204" pitchFamily="34" charset="0"/>
            </a:rPr>
            <a:t>LEY 181 DE 2016.</a:t>
          </a:r>
          <a:r>
            <a:rPr lang="es-CO" sz="600" b="0" kern="1200">
              <a:latin typeface="Arial" panose="020B0604020202020204" pitchFamily="34" charset="0"/>
              <a:cs typeface="Arial" panose="020B0604020202020204" pitchFamily="34" charset="0"/>
            </a:rPr>
            <a:t> P</a:t>
          </a:r>
          <a:r>
            <a:rPr lang="es-CO" sz="600" b="0" i="0" kern="1200" baseline="0">
              <a:latin typeface="Arial" panose="020B0604020202020204" pitchFamily="34" charset="0"/>
              <a:cs typeface="Arial" panose="020B0604020202020204" pitchFamily="34" charset="0"/>
            </a:rPr>
            <a:t>or la cual se expide el Código Nacional de Seguridad y Convivencia Ciudadana.</a:t>
          </a:r>
          <a:endParaRPr lang="es-CO" sz="600" b="0" kern="1200">
            <a:latin typeface="Arial" panose="020B0604020202020204" pitchFamily="34" charset="0"/>
            <a:cs typeface="Arial" panose="020B0604020202020204" pitchFamily="34" charset="0"/>
          </a:endParaRPr>
        </a:p>
      </dsp:txBody>
      <dsp:txXfrm>
        <a:off x="2295540" y="1659636"/>
        <a:ext cx="728049" cy="1106424"/>
      </dsp:txXfrm>
    </dsp:sp>
    <dsp:sp modelId="{7017B2D9-D18A-49B3-9682-D423BBFBC506}">
      <dsp:nvSpPr>
        <dsp:cNvPr id="0" name=""/>
        <dsp:cNvSpPr/>
      </dsp:nvSpPr>
      <dsp:spPr>
        <a:xfrm>
          <a:off x="2521262" y="1244727"/>
          <a:ext cx="276606" cy="276606"/>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9D7417E-B7B7-44EA-9029-9FDBDC1C1DD3}">
      <dsp:nvSpPr>
        <dsp:cNvPr id="0" name=""/>
        <dsp:cNvSpPr/>
      </dsp:nvSpPr>
      <dsp:spPr>
        <a:xfrm>
          <a:off x="3047789" y="0"/>
          <a:ext cx="1178941" cy="11064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b" anchorCtr="0">
          <a:noAutofit/>
        </a:bodyPr>
        <a:lstStyle/>
        <a:p>
          <a:pPr marL="0" lvl="0" indent="0" algn="ctr" defTabSz="266700">
            <a:lnSpc>
              <a:spcPct val="90000"/>
            </a:lnSpc>
            <a:spcBef>
              <a:spcPct val="0"/>
            </a:spcBef>
            <a:spcAft>
              <a:spcPct val="35000"/>
            </a:spcAft>
            <a:buNone/>
          </a:pPr>
          <a:r>
            <a:rPr lang="es-CO" sz="600" b="1" i="0" kern="1200" baseline="0" dirty="0">
              <a:latin typeface="Arial" panose="020B0604020202020204" pitchFamily="34" charset="0"/>
              <a:cs typeface="Arial" panose="020B0604020202020204" pitchFamily="34" charset="0"/>
            </a:rPr>
            <a:t>LEY 2224 DE 2022</a:t>
          </a:r>
          <a:r>
            <a:rPr lang="es-CO" sz="600" b="1" kern="1200" dirty="0">
              <a:latin typeface="Arial" panose="020B0604020202020204" pitchFamily="34" charset="0"/>
              <a:cs typeface="Arial" panose="020B0604020202020204" pitchFamily="34" charset="0"/>
            </a:rPr>
            <a:t>. </a:t>
          </a:r>
          <a:r>
            <a:rPr lang="es-CO" sz="600" b="0" kern="1200" dirty="0">
              <a:latin typeface="Arial" panose="020B0604020202020204" pitchFamily="34" charset="0"/>
              <a:cs typeface="Arial" panose="020B0604020202020204" pitchFamily="34" charset="0"/>
            </a:rPr>
            <a:t>P</a:t>
          </a:r>
          <a:r>
            <a:rPr lang="es-CO" sz="600" b="0" i="0" kern="1200" baseline="0" dirty="0">
              <a:latin typeface="Arial" panose="020B0604020202020204" pitchFamily="34" charset="0"/>
              <a:cs typeface="Arial" panose="020B0604020202020204" pitchFamily="34" charset="0"/>
            </a:rPr>
            <a:t>or medio de la cual se garantizan los derechos fundamentales a la vida, la integridad física, la salud y la recreación de todos los habitantes en especial los niños, niñas y adolescentes en el territorio nacional mediante la regulación del uso, la fabricación, la manipulación, el transporte, el almacenamiento, la comercialización, la compra, la venta y el expendio de pólvora y productos pirotécnicos en el territorio nacional y se dictan otras disposiciones.</a:t>
          </a:r>
          <a:endParaRPr lang="es-CO" sz="600" b="0" kern="1200" dirty="0">
            <a:latin typeface="Arial" panose="020B0604020202020204" pitchFamily="34" charset="0"/>
            <a:cs typeface="Arial" panose="020B0604020202020204" pitchFamily="34" charset="0"/>
          </a:endParaRPr>
        </a:p>
      </dsp:txBody>
      <dsp:txXfrm>
        <a:off x="3047789" y="0"/>
        <a:ext cx="1178941" cy="1106424"/>
      </dsp:txXfrm>
    </dsp:sp>
    <dsp:sp modelId="{EADD79B7-2DBA-44AD-9A56-982704B903D8}">
      <dsp:nvSpPr>
        <dsp:cNvPr id="0" name=""/>
        <dsp:cNvSpPr/>
      </dsp:nvSpPr>
      <dsp:spPr>
        <a:xfrm>
          <a:off x="3498956" y="1244727"/>
          <a:ext cx="276606" cy="276606"/>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A43D024-6A65-44CD-8256-DDF85053F9F1}">
      <dsp:nvSpPr>
        <dsp:cNvPr id="0" name=""/>
        <dsp:cNvSpPr/>
      </dsp:nvSpPr>
      <dsp:spPr>
        <a:xfrm>
          <a:off x="4250929" y="1659636"/>
          <a:ext cx="903676" cy="11064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2672" tIns="42672" rIns="42672" bIns="42672" numCol="1" spcCol="1270" anchor="t" anchorCtr="0">
          <a:noAutofit/>
        </a:bodyPr>
        <a:lstStyle/>
        <a:p>
          <a:pPr marL="0" lvl="0" indent="0" algn="ctr" defTabSz="266700">
            <a:lnSpc>
              <a:spcPct val="90000"/>
            </a:lnSpc>
            <a:spcBef>
              <a:spcPct val="0"/>
            </a:spcBef>
            <a:spcAft>
              <a:spcPct val="35000"/>
            </a:spcAft>
            <a:buNone/>
          </a:pPr>
          <a:r>
            <a:rPr lang="es-CO" sz="600" b="1" i="0" kern="1200" baseline="0" dirty="0">
              <a:latin typeface="Arial" panose="020B0604020202020204" pitchFamily="34" charset="0"/>
              <a:cs typeface="Arial" panose="020B0604020202020204" pitchFamily="34" charset="0"/>
            </a:rPr>
            <a:t>DECRETO 2174 DE 2023</a:t>
          </a:r>
          <a:r>
            <a:rPr lang="es-CO" sz="600" b="1" kern="1200" dirty="0">
              <a:latin typeface="Arial" panose="020B0604020202020204" pitchFamily="34" charset="0"/>
              <a:cs typeface="Arial" panose="020B0604020202020204" pitchFamily="34" charset="0"/>
            </a:rPr>
            <a:t>. </a:t>
          </a:r>
          <a:r>
            <a:rPr lang="es-CO" sz="600" b="0" kern="1200" dirty="0">
              <a:latin typeface="Arial" panose="020B0604020202020204" pitchFamily="34" charset="0"/>
              <a:cs typeface="Arial" panose="020B0604020202020204" pitchFamily="34" charset="0"/>
            </a:rPr>
            <a:t>R</a:t>
          </a:r>
          <a:r>
            <a:rPr lang="es-CO" sz="600" b="0" i="0" kern="1200" baseline="0" dirty="0">
              <a:latin typeface="Arial" panose="020B0604020202020204" pitchFamily="34" charset="0"/>
              <a:cs typeface="Arial" panose="020B0604020202020204" pitchFamily="34" charset="0"/>
            </a:rPr>
            <a:t>equisitos para el uso, fabricación, manipulación, transporte, almacenamiento, comercialización, compra, venta de pólvora y productos pirotécnicos en el territorio nacional</a:t>
          </a:r>
          <a:endParaRPr lang="es-CO" sz="600" b="1" kern="1200" dirty="0">
            <a:latin typeface="Arial" panose="020B0604020202020204" pitchFamily="34" charset="0"/>
            <a:cs typeface="Arial" panose="020B0604020202020204" pitchFamily="34" charset="0"/>
          </a:endParaRPr>
        </a:p>
      </dsp:txBody>
      <dsp:txXfrm>
        <a:off x="4250929" y="1659636"/>
        <a:ext cx="903676" cy="1106424"/>
      </dsp:txXfrm>
    </dsp:sp>
    <dsp:sp modelId="{3419036F-E01D-4A00-940B-30A02244CDB2}">
      <dsp:nvSpPr>
        <dsp:cNvPr id="0" name=""/>
        <dsp:cNvSpPr/>
      </dsp:nvSpPr>
      <dsp:spPr>
        <a:xfrm>
          <a:off x="4564465" y="1244727"/>
          <a:ext cx="276606" cy="276606"/>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77A27-0126-4513-9027-384FD4210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12401</Words>
  <Characters>70691</Characters>
  <Application>Microsoft Office Word</Application>
  <DocSecurity>0</DocSecurity>
  <Lines>589</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CUERO LEON</dc:creator>
  <cp:keywords/>
  <dc:description/>
  <cp:lastModifiedBy>Graves, John A</cp:lastModifiedBy>
  <cp:revision>2</cp:revision>
  <dcterms:created xsi:type="dcterms:W3CDTF">2024-06-12T18:43:00Z</dcterms:created>
  <dcterms:modified xsi:type="dcterms:W3CDTF">2024-06-12T18:43:00Z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cJournalAbbreviations" value="true"/&gt;&lt;/prefs&gt;&lt;/data&gt;</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ZOTERO_PREF_1">
    <vt:lpwstr>&lt;data data-version="3" zotero-version="6.0.37"&gt;&lt;session id="GFJYlw4W"/&gt;&lt;style id="http://www.zotero.org/styles/vancouver" locale="es-ES" hasBibliography="1" bibliographyStyleHasBeenSet="1"/&gt;&lt;prefs&gt;&lt;pref name="fieldType" value="Field"/&gt;&lt;pref name="automati</vt:lpwstr>
  </property>
  <property fmtid="{D5CDD505-2E9C-101B-9397-08002B2CF9AE}" pid="24" name="GrammarlyDocumentId">
    <vt:lpwstr>bae4276be10b429274dc8ab94c8a0db684c4fdbe0a75a65d6b19a866e9fddcf2</vt:lpwstr>
  </property>
</Properties>
</file>