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48.png" ContentType="image/png"/>
  <Override PartName="/word/media/rId59.png" ContentType="image/png"/>
  <Override PartName="/word/media/rId43.png" ContentType="image/png"/>
  <Override PartName="/word/media/rId74.png" ContentType="image/png"/>
  <Override PartName="/word/media/rId89.png" ContentType="image/png"/>
  <Override PartName="/word/media/rId32.svg" ContentType="image/svg+xml"/>
  <Override PartName="/word/media/rId39.svg" ContentType="image/svg+xml"/>
  <Override PartName="/word/media/rId54.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p>
    <w:p>
      <w:pPr>
        <w:pStyle w:val="Author"/>
      </w:pPr>
      <w:r>
        <w:t xml:space="preserve">John</w:t>
      </w:r>
      <w:r>
        <w:t xml:space="preserve"> </w:t>
      </w:r>
      <w:r>
        <w:t xml:space="preserve">Graves</w:t>
      </w:r>
    </w:p>
    <w:p>
      <w:pPr>
        <w:pStyle w:val="Author"/>
      </w:pPr>
      <w:r>
        <w:t xml:space="preserve">Jinyi</w:t>
      </w:r>
      <w:r>
        <w:t xml:space="preserve"> </w:t>
      </w:r>
      <w:r>
        <w:t xml:space="preserve">Zhu</w:t>
      </w:r>
    </w:p>
    <w:p>
      <w:pPr>
        <w:pStyle w:val="Author"/>
      </w:pPr>
      <w:r>
        <w:t xml:space="preserve">Grace</w:t>
      </w:r>
      <w:r>
        <w:t xml:space="preserve"> </w:t>
      </w:r>
      <w:r>
        <w:t xml:space="preserve">Ratcliff</w:t>
      </w:r>
    </w:p>
    <w:p>
      <w:pPr>
        <w:pStyle w:val="Author"/>
      </w:pPr>
      <w:r>
        <w:t xml:space="preserve">Hannah</w:t>
      </w:r>
      <w:r>
        <w:t xml:space="preserve"> </w:t>
      </w:r>
      <w:r>
        <w:t xml:space="preserve">Peterson</w:t>
      </w:r>
    </w:p>
    <w:p>
      <w:pPr>
        <w:pStyle w:val="Author"/>
      </w:pPr>
      <w:r>
        <w:t xml:space="preserve">Marie</w:t>
      </w:r>
      <w:r>
        <w:t xml:space="preserve"> </w:t>
      </w:r>
      <w:r>
        <w:t xml:space="preserve">Martin</w:t>
      </w:r>
    </w:p>
    <w:p>
      <w:pPr>
        <w:pStyle w:val="Author"/>
      </w:pPr>
      <w:r>
        <w:t xml:space="preserve">Shawn</w:t>
      </w:r>
      <w:r>
        <w:t xml:space="preserve"> </w:t>
      </w:r>
      <w:r>
        <w:t xml:space="preserve">Garbett</w:t>
      </w:r>
    </w:p>
    <w:p>
      <w:pPr>
        <w:pStyle w:val="Author"/>
      </w:pPr>
      <w:r>
        <w:t xml:space="preserve">Ashley</w:t>
      </w:r>
      <w:r>
        <w:t xml:space="preserve"> </w:t>
      </w:r>
      <w:r>
        <w:t xml:space="preserve">Leech</w:t>
      </w:r>
    </w:p>
    <w:p>
      <w:pPr>
        <w:pStyle w:val="Date"/>
      </w:pPr>
      <w:r>
        <w:t xml:space="preserve">2024-07-19</w:t>
      </w:r>
    </w:p>
    <w:p>
      <w:pPr>
        <w:pStyle w:val="AbstractTitle"/>
      </w:pPr>
      <w:r>
        <w:t xml:space="preserve">Abstract</w:t>
      </w:r>
    </w:p>
    <w:p>
      <w:pPr>
        <w:pStyle w:val="Abstract"/>
      </w:pPr>
      <w:r>
        <w:t xml:space="preserve">This</w:t>
      </w:r>
      <w:r>
        <w:t xml:space="preserve"> </w:t>
      </w:r>
      <w:r>
        <w:t xml:space="preserve">study</w:t>
      </w:r>
      <w:r>
        <w:t xml:space="preserve"> </w:t>
      </w:r>
      <w:r>
        <w:t xml:space="preserve">outlines</w:t>
      </w:r>
      <w:r>
        <w:t xml:space="preserve"> </w:t>
      </w:r>
      <w:r>
        <w:t xml:space="preserve">methods</w:t>
      </w:r>
      <w:r>
        <w:t xml:space="preserve"> </w:t>
      </w:r>
      <w:r>
        <w:t xml:space="preserve">for</w:t>
      </w:r>
      <w:r>
        <w:t xml:space="preserve"> </w:t>
      </w:r>
      <w:r>
        <w:t xml:space="preserve">direct</w:t>
      </w:r>
      <w:r>
        <w:t xml:space="preserve"> </w:t>
      </w:r>
      <w:r>
        <w:t xml:space="preserve">incorporation</w:t>
      </w:r>
      <w:r>
        <w:t xml:space="preserve"> </w:t>
      </w:r>
      <w:r>
        <w:t xml:space="preserve">of</w:t>
      </w:r>
      <w:r>
        <w:t xml:space="preserve"> </w:t>
      </w:r>
      <w:r>
        <w:t xml:space="preserve">multidimensional</w:t>
      </w:r>
      <w:r>
        <w:t xml:space="preserve"> </w:t>
      </w:r>
      <w:r>
        <w:t xml:space="preserve">health</w:t>
      </w:r>
      <w:r>
        <w:t xml:space="preserve"> </w:t>
      </w:r>
      <w:r>
        <w:t xml:space="preserve">outcomes</w:t>
      </w:r>
      <w:r>
        <w:t xml:space="preserve"> </w:t>
      </w:r>
      <w:r>
        <w:t xml:space="preserve">in</w:t>
      </w:r>
      <w:r>
        <w:t xml:space="preserve"> </w:t>
      </w:r>
      <w:r>
        <w:t xml:space="preserve">common</w:t>
      </w:r>
      <w:r>
        <w:t xml:space="preserve"> </w:t>
      </w:r>
      <w:r>
        <w:t xml:space="preserve">decision</w:t>
      </w:r>
      <w:r>
        <w:t xml:space="preserve"> </w:t>
      </w:r>
      <w:r>
        <w:t xml:space="preserve">modeling</w:t>
      </w:r>
      <w:r>
        <w:t xml:space="preserve"> </w:t>
      </w:r>
      <w:r>
        <w:t xml:space="preserve">frameworks,</w:t>
      </w:r>
      <w:r>
        <w:t xml:space="preserve"> </w:t>
      </w:r>
      <w:r>
        <w:t xml:space="preserve">with</w:t>
      </w:r>
      <w:r>
        <w:t xml:space="preserve"> </w:t>
      </w:r>
      <w:r>
        <w:t xml:space="preserve">a</w:t>
      </w:r>
      <w:r>
        <w:t xml:space="preserve"> </w:t>
      </w:r>
      <w:r>
        <w:t xml:space="preserve">particular</w:t>
      </w:r>
      <w:r>
        <w:t xml:space="preserve"> </w:t>
      </w:r>
      <w:r>
        <w:t xml:space="preserve">focus</w:t>
      </w:r>
      <w:r>
        <w:t xml:space="preserve"> </w:t>
      </w:r>
      <w:r>
        <w:t xml:space="preserve">on</w:t>
      </w:r>
      <w:r>
        <w:t xml:space="preserve"> </w:t>
      </w:r>
      <w:r>
        <w:t xml:space="preserve">disability-adjusted</w:t>
      </w:r>
      <w:r>
        <w:t xml:space="preserve"> </w:t>
      </w:r>
      <w:r>
        <w:t xml:space="preserve">life</w:t>
      </w:r>
      <w:r>
        <w:t xml:space="preserve"> </w:t>
      </w:r>
      <w:r>
        <w:t xml:space="preserve">years</w:t>
      </w:r>
      <w:r>
        <w:t xml:space="preserve"> </w:t>
      </w:r>
      <w:r>
        <w:t xml:space="preserve">(DALYs)</w:t>
      </w:r>
      <w:r>
        <w:t xml:space="preserve"> </w:t>
      </w:r>
      <w:r>
        <w:t xml:space="preserve">and</w:t>
      </w:r>
      <w:r>
        <w:t xml:space="preserve"> </w:t>
      </w:r>
      <w:r>
        <w:t xml:space="preserve">its</w:t>
      </w:r>
      <w:r>
        <w:t xml:space="preserve"> </w:t>
      </w:r>
      <w:r>
        <w:t xml:space="preserve">constituent</w:t>
      </w:r>
      <w:r>
        <w:t xml:space="preserve"> </w:t>
      </w:r>
      <w:r>
        <w:t xml:space="preserve">parts—years</w:t>
      </w:r>
      <w:r>
        <w:t xml:space="preserve"> </w:t>
      </w:r>
      <w:r>
        <w:t xml:space="preserve">of</w:t>
      </w:r>
      <w:r>
        <w:t xml:space="preserve"> </w:t>
      </w:r>
      <w:r>
        <w:t xml:space="preserve">life</w:t>
      </w:r>
      <w:r>
        <w:t xml:space="preserve"> </w:t>
      </w:r>
      <w:r>
        <w:t xml:space="preserve">lived</w:t>
      </w:r>
      <w:r>
        <w:t xml:space="preserve"> </w:t>
      </w:r>
      <w:r>
        <w:t xml:space="preserve">with</w:t>
      </w:r>
      <w:r>
        <w:t xml:space="preserve"> </w:t>
      </w:r>
      <w:r>
        <w:t xml:space="preserve">disability</w:t>
      </w:r>
      <w:r>
        <w:t xml:space="preserve"> </w:t>
      </w:r>
      <w:r>
        <w:t xml:space="preserve">(YLDs)</w:t>
      </w:r>
      <w:r>
        <w:t xml:space="preserve"> </w:t>
      </w:r>
      <w:r>
        <w:t xml:space="preserve">and</w:t>
      </w:r>
      <w:r>
        <w:t xml:space="preserve"> </w:t>
      </w:r>
      <w:r>
        <w:t xml:space="preserve">years</w:t>
      </w:r>
      <w:r>
        <w:t xml:space="preserve"> </w:t>
      </w:r>
      <w:r>
        <w:t xml:space="preserve">of</w:t>
      </w:r>
      <w:r>
        <w:t xml:space="preserve"> </w:t>
      </w:r>
      <w:r>
        <w:t xml:space="preserve">life</w:t>
      </w:r>
      <w:r>
        <w:t xml:space="preserve"> </w:t>
      </w:r>
      <w:r>
        <w:t xml:space="preserve">lost</w:t>
      </w:r>
      <w:r>
        <w:t xml:space="preserve"> </w:t>
      </w:r>
      <w:r>
        <w:t xml:space="preserve">to</w:t>
      </w:r>
      <w:r>
        <w:t xml:space="preserve"> </w:t>
      </w:r>
      <w:r>
        <w:t xml:space="preserve">premature</w:t>
      </w:r>
      <w:r>
        <w:t xml:space="preserve"> </w:t>
      </w:r>
      <w:r>
        <w:t xml:space="preserve">mortality</w:t>
      </w:r>
      <w:r>
        <w:t xml:space="preserve"> </w:t>
      </w:r>
      <w:r>
        <w:t xml:space="preserve">(YLLs).</w:t>
      </w:r>
      <w:r>
        <w:t xml:space="preserve"> </w:t>
      </w:r>
      <w:r>
        <w:t xml:space="preserve">Recognizing</w:t>
      </w:r>
      <w:r>
        <w:t xml:space="preserve"> </w:t>
      </w:r>
      <w:r>
        <w:t xml:space="preserve">the</w:t>
      </w:r>
      <w:r>
        <w:t xml:space="preserve"> </w:t>
      </w:r>
      <w:r>
        <w:t xml:space="preserve">wide</w:t>
      </w:r>
      <w:r>
        <w:t xml:space="preserve"> </w:t>
      </w:r>
      <w:r>
        <w:t xml:space="preserve">spectrum</w:t>
      </w:r>
      <w:r>
        <w:t xml:space="preserve"> </w:t>
      </w:r>
      <w:r>
        <w:t xml:space="preserve">of</w:t>
      </w:r>
      <w:r>
        <w:t xml:space="preserve"> </w:t>
      </w:r>
      <w:r>
        <w:t xml:space="preserve">experience</w:t>
      </w:r>
      <w:r>
        <w:t xml:space="preserve"> </w:t>
      </w:r>
      <w:r>
        <w:t xml:space="preserve">and</w:t>
      </w:r>
      <w:r>
        <w:t xml:space="preserve"> </w:t>
      </w:r>
      <w:r>
        <w:t xml:space="preserve">programming</w:t>
      </w:r>
      <w:r>
        <w:t xml:space="preserve"> </w:t>
      </w:r>
      <w:r>
        <w:t xml:space="preserve">comfort</w:t>
      </w:r>
      <w:r>
        <w:t xml:space="preserve"> </w:t>
      </w:r>
      <w:r>
        <w:t xml:space="preserve">level</w:t>
      </w:r>
      <w:r>
        <w:t xml:space="preserve"> </w:t>
      </w:r>
      <w:r>
        <w:t xml:space="preserve">among</w:t>
      </w:r>
      <w:r>
        <w:t xml:space="preserve"> </w:t>
      </w:r>
      <w:r>
        <w:t xml:space="preserve">practitioners,</w:t>
      </w:r>
      <w:r>
        <w:t xml:space="preserve"> </w:t>
      </w:r>
      <w:r>
        <w:t xml:space="preserve">we</w:t>
      </w:r>
      <w:r>
        <w:t xml:space="preserve"> </w:t>
      </w:r>
      <w:r>
        <w:t xml:space="preserve">offer</w:t>
      </w:r>
      <w:r>
        <w:t xml:space="preserve"> </w:t>
      </w:r>
      <w:r>
        <w:t xml:space="preserve">two</w:t>
      </w:r>
      <w:r>
        <w:t xml:space="preserve"> </w:t>
      </w:r>
      <w:r>
        <w:t xml:space="preserve">approaches</w:t>
      </w:r>
      <w:r>
        <w:t xml:space="preserve"> </w:t>
      </w:r>
      <w:r>
        <w:t xml:space="preserve">(beginner,</w:t>
      </w:r>
      <w:r>
        <w:t xml:space="preserve"> </w:t>
      </w:r>
      <w:r>
        <w:t xml:space="preserve">intermediate).</w:t>
      </w:r>
      <w:r>
        <w:t xml:space="preserve"> </w:t>
      </w:r>
      <w:r>
        <w:t xml:space="preserve">Our</w:t>
      </w:r>
      <w:r>
        <w:t xml:space="preserve"> </w:t>
      </w:r>
      <w:r>
        <w:t xml:space="preserve">beginner</w:t>
      </w:r>
      <w:r>
        <w:t xml:space="preserve"> </w:t>
      </w:r>
      <w:r>
        <w:t xml:space="preserve">approach</w:t>
      </w:r>
      <w:r>
        <w:t xml:space="preserve"> </w:t>
      </w:r>
      <w:r>
        <w:t xml:space="preserve">draws</w:t>
      </w:r>
      <w:r>
        <w:t xml:space="preserve"> </w:t>
      </w:r>
      <w:r>
        <w:t xml:space="preserve">on</w:t>
      </w:r>
      <w:r>
        <w:t xml:space="preserve"> </w:t>
      </w:r>
      <w:r>
        <w:t xml:space="preserve">the</w:t>
      </w:r>
      <w:r>
        <w:t xml:space="preserve"> </w:t>
      </w:r>
      <w:r>
        <w:t xml:space="preserve">Markov</w:t>
      </w:r>
      <w:r>
        <w:t xml:space="preserve"> </w:t>
      </w:r>
      <w:r>
        <w:t xml:space="preserve">trace,</w:t>
      </w:r>
      <w:r>
        <w:t xml:space="preserve"> </w:t>
      </w:r>
      <w:r>
        <w:t xml:space="preserve">while</w:t>
      </w:r>
      <w:r>
        <w:t xml:space="preserve"> </w:t>
      </w:r>
      <w:r>
        <w:t xml:space="preserve">the</w:t>
      </w:r>
      <w:r>
        <w:t xml:space="preserve"> </w:t>
      </w:r>
      <w:r>
        <w:t xml:space="preserve">intermediate</w:t>
      </w:r>
      <w:r>
        <w:t xml:space="preserve"> </w:t>
      </w:r>
      <w:r>
        <w:t xml:space="preserve">approach</w:t>
      </w:r>
      <w:r>
        <w:t xml:space="preserve"> </w:t>
      </w:r>
      <w:r>
        <w:t xml:space="preserve">facilitates</w:t>
      </w:r>
      <w:r>
        <w:t xml:space="preserve"> </w:t>
      </w:r>
      <w:r>
        <w:t xml:space="preserve">more</w:t>
      </w:r>
      <w:r>
        <w:t xml:space="preserve"> </w:t>
      </w:r>
      <w:r>
        <w:t xml:space="preserve">efficient</w:t>
      </w:r>
      <w:r>
        <w:t xml:space="preserve"> </w:t>
      </w:r>
      <w:r>
        <w:t xml:space="preserve">estimation</w:t>
      </w:r>
      <w:r>
        <w:t xml:space="preserve"> </w:t>
      </w:r>
      <w:r>
        <w:t xml:space="preserve">for</w:t>
      </w:r>
      <w:r>
        <w:t xml:space="preserve"> </w:t>
      </w:r>
      <w:r>
        <w:t xml:space="preserve">computationally-intensive</w:t>
      </w:r>
      <w:r>
        <w:t xml:space="preserve"> </w:t>
      </w:r>
      <w:r>
        <w:t xml:space="preserve">exercises</w:t>
      </w:r>
      <w:r>
        <w:t xml:space="preserve"> </w:t>
      </w:r>
      <w:r>
        <w:t xml:space="preserve">(e.g.,</w:t>
      </w:r>
      <w:r>
        <w:t xml:space="preserve"> </w:t>
      </w:r>
      <w:r>
        <w:t xml:space="preserve">microsimulation,</w:t>
      </w:r>
      <w:r>
        <w:t xml:space="preserve"> </w:t>
      </w:r>
      <w:r>
        <w:t xml:space="preserve">probabilistic</w:t>
      </w:r>
      <w:r>
        <w:t xml:space="preserve"> </w:t>
      </w:r>
      <w:r>
        <w:t xml:space="preserve">sensitivity</w:t>
      </w:r>
      <w:r>
        <w:t xml:space="preserve"> </w:t>
      </w:r>
      <w:r>
        <w:t xml:space="preserve">analyses)</w:t>
      </w:r>
      <w:r>
        <w:t xml:space="preserve"> </w:t>
      </w:r>
      <w:r>
        <w:t xml:space="preserve">by</w:t>
      </w:r>
      <w:r>
        <w:t xml:space="preserve"> </w:t>
      </w:r>
      <w:r>
        <w:t xml:space="preserve">incorporating</w:t>
      </w:r>
      <w:r>
        <w:t xml:space="preserve"> </w:t>
      </w:r>
      <w:r>
        <w:t xml:space="preserve">non-Markovian</w:t>
      </w:r>
      <w:r>
        <w:t xml:space="preserve"> </w:t>
      </w:r>
      <w:r>
        <w:t xml:space="preserve">tracking</w:t>
      </w:r>
      <w:r>
        <w:t xml:space="preserve"> </w:t>
      </w:r>
      <w:r>
        <w:t xml:space="preserve">elements</w:t>
      </w:r>
      <w:r>
        <w:t xml:space="preserve"> </w:t>
      </w:r>
      <w:r>
        <w:t xml:space="preserve">into</w:t>
      </w:r>
      <w:r>
        <w:t xml:space="preserve"> </w:t>
      </w:r>
      <w:r>
        <w:t xml:space="preserve">transition</w:t>
      </w:r>
      <w:r>
        <w:t xml:space="preserve"> </w:t>
      </w:r>
      <w:r>
        <w:t xml:space="preserve">probability</w:t>
      </w:r>
      <w:r>
        <w:t xml:space="preserve"> </w:t>
      </w:r>
      <w:r>
        <w:t xml:space="preserve">matrices.</w:t>
      </w:r>
      <w:r>
        <w:t xml:space="preserve"> </w:t>
      </w:r>
      <w:r>
        <w:t xml:space="preserve">Drawing</w:t>
      </w:r>
      <w:r>
        <w:t xml:space="preserve"> </w:t>
      </w:r>
      <w:r>
        <w:t xml:space="preserve">on</w:t>
      </w:r>
      <w:r>
        <w:t xml:space="preserve"> </w:t>
      </w:r>
      <w:r>
        <w:t xml:space="preserve">an</w:t>
      </w:r>
      <w:r>
        <w:t xml:space="preserve"> </w:t>
      </w:r>
      <w:r>
        <w:t xml:space="preserve">existing</w:t>
      </w:r>
      <w:r>
        <w:t xml:space="preserve"> </w:t>
      </w:r>
      <w:r>
        <w:t xml:space="preserve">disease</w:t>
      </w:r>
      <w:r>
        <w:t xml:space="preserve"> </w:t>
      </w:r>
      <w:r>
        <w:t xml:space="preserve">progression</w:t>
      </w:r>
      <w:r>
        <w:t xml:space="preserve"> </w:t>
      </w:r>
      <w:r>
        <w:t xml:space="preserve">discrete</w:t>
      </w:r>
      <w:r>
        <w:t xml:space="preserve"> </w:t>
      </w:r>
      <w:r>
        <w:t xml:space="preserve">time</w:t>
      </w:r>
      <w:r>
        <w:t xml:space="preserve"> </w:t>
      </w:r>
      <w:r>
        <w:t xml:space="preserve">Markov</w:t>
      </w:r>
      <w:r>
        <w:t xml:space="preserve"> </w:t>
      </w:r>
      <w:r>
        <w:t xml:space="preserve">cohort</w:t>
      </w:r>
      <w:r>
        <w:t xml:space="preserve"> </w:t>
      </w:r>
      <w:r>
        <w:t xml:space="preserve">model,</w:t>
      </w:r>
      <w:r>
        <w:t xml:space="preserve"> </w:t>
      </w:r>
      <w:r>
        <w:t xml:space="preserve">we</w:t>
      </w:r>
      <w:r>
        <w:t xml:space="preserve"> </w:t>
      </w:r>
      <w:r>
        <w:t xml:space="preserve">demonstrate</w:t>
      </w:r>
      <w:r>
        <w:t xml:space="preserve"> </w:t>
      </w:r>
      <w:r>
        <w:t xml:space="preserve">exact</w:t>
      </w:r>
      <w:r>
        <w:t xml:space="preserve"> </w:t>
      </w:r>
      <w:r>
        <w:t xml:space="preserve">or</w:t>
      </w:r>
      <w:r>
        <w:t xml:space="preserve"> </w:t>
      </w:r>
      <w:r>
        <w:t xml:space="preserve">near-</w:t>
      </w:r>
      <w:r>
        <w:t xml:space="preserve"> </w:t>
      </w:r>
      <w:r>
        <w:t xml:space="preserve">numeric</w:t>
      </w:r>
      <w:r>
        <w:t xml:space="preserve"> </w:t>
      </w:r>
      <w:r>
        <w:t xml:space="preserve">equivalence</w:t>
      </w:r>
      <w:r>
        <w:t xml:space="preserve"> </w:t>
      </w:r>
      <w:r>
        <w:t xml:space="preserve">of</w:t>
      </w:r>
      <w:r>
        <w:t xml:space="preserve"> </w:t>
      </w:r>
      <w:r>
        <w:t xml:space="preserve">DALY</w:t>
      </w:r>
      <w:r>
        <w:t xml:space="preserve"> </w:t>
      </w:r>
      <w:r>
        <w:t xml:space="preserve">estimates</w:t>
      </w:r>
      <w:r>
        <w:t xml:space="preserve"> </w:t>
      </w:r>
      <w:r>
        <w:t xml:space="preserve">and</w:t>
      </w:r>
      <w:r>
        <w:t xml:space="preserve"> </w:t>
      </w:r>
      <w:r>
        <w:t xml:space="preserve">cost-effectiveness</w:t>
      </w:r>
      <w:r>
        <w:t xml:space="preserve"> </w:t>
      </w:r>
      <w:r>
        <w:t xml:space="preserve">analysis</w:t>
      </w:r>
      <w:r>
        <w:t xml:space="preserve"> </w:t>
      </w:r>
      <w:r>
        <w:t xml:space="preserve">results</w:t>
      </w:r>
      <w:r>
        <w:t xml:space="preserve"> </w:t>
      </w:r>
      <w:r>
        <w:t xml:space="preserve">across</w:t>
      </w:r>
      <w:r>
        <w:t xml:space="preserve"> </w:t>
      </w:r>
      <w:r>
        <w:t xml:space="preserve">our</w:t>
      </w:r>
      <w:r>
        <w:t xml:space="preserve"> </w:t>
      </w:r>
      <w:r>
        <w:t xml:space="preserve">methods,</w:t>
      </w:r>
      <w:r>
        <w:t xml:space="preserve"> </w:t>
      </w:r>
      <w:r>
        <w:t xml:space="preserve">and</w:t>
      </w:r>
      <w:r>
        <w:t xml:space="preserve"> </w:t>
      </w:r>
      <w:r>
        <w:t xml:space="preserve">show</w:t>
      </w:r>
      <w:r>
        <w:t xml:space="preserve"> </w:t>
      </w:r>
      <w:r>
        <w:t xml:space="preserve">that</w:t>
      </w:r>
      <w:r>
        <w:t xml:space="preserve"> </w:t>
      </w:r>
      <w:r>
        <w:t xml:space="preserve">other</w:t>
      </w:r>
      <w:r>
        <w:t xml:space="preserve"> </w:t>
      </w:r>
      <w:r>
        <w:t xml:space="preserve">commonly</w:t>
      </w:r>
      <w:r>
        <w:t xml:space="preserve"> </w:t>
      </w:r>
      <w:r>
        <w:t xml:space="preserve">used</w:t>
      </w:r>
      <w:r>
        <w:t xml:space="preserve"> </w:t>
      </w:r>
      <w:r>
        <w:t xml:space="preserve">“</w:t>
      </w:r>
      <w:r>
        <w:t xml:space="preserve">shortcuts</w:t>
      </w:r>
      <w:r>
        <w:t xml:space="preserve">”</w:t>
      </w:r>
      <w:r>
        <w:t xml:space="preserve"> </w:t>
      </w:r>
      <w:r>
        <w:t xml:space="preserve">for</w:t>
      </w:r>
      <w:r>
        <w:t xml:space="preserve"> </w:t>
      </w:r>
      <w:r>
        <w:t xml:space="preserve">estimating</w:t>
      </w:r>
      <w:r>
        <w:t xml:space="preserve"> </w:t>
      </w:r>
      <w:r>
        <w:t xml:space="preserve">DALYs</w:t>
      </w:r>
      <w:r>
        <w:t xml:space="preserve"> </w:t>
      </w:r>
      <w:r>
        <w:t xml:space="preserve">will</w:t>
      </w:r>
      <w:r>
        <w:t xml:space="preserve"> </w:t>
      </w:r>
      <w:r>
        <w:t xml:space="preserve">not,</w:t>
      </w:r>
      <w:r>
        <w:t xml:space="preserve"> </w:t>
      </w:r>
      <w:r>
        <w:t xml:space="preserve">in</w:t>
      </w:r>
      <w:r>
        <w:t xml:space="preserve"> </w:t>
      </w:r>
      <w:r>
        <w:t xml:space="preserve">general,</w:t>
      </w:r>
      <w:r>
        <w:t xml:space="preserve"> </w:t>
      </w:r>
      <w:r>
        <w:t xml:space="preserve">yield</w:t>
      </w:r>
      <w:r>
        <w:t xml:space="preserve"> </w:t>
      </w:r>
      <w:r>
        <w:t xml:space="preserve">accurate</w:t>
      </w:r>
      <w:r>
        <w:t xml:space="preserve"> </w:t>
      </w:r>
      <w:r>
        <w:t xml:space="preserve">estimates</w:t>
      </w:r>
      <w:r>
        <w:t xml:space="preserve"> </w:t>
      </w:r>
      <w:r>
        <w:t xml:space="preserve">of</w:t>
      </w:r>
      <w:r>
        <w:t xml:space="preserve"> </w:t>
      </w:r>
      <w:r>
        <w:t xml:space="preserve">DALY</w:t>
      </w:r>
      <w:r>
        <w:t xml:space="preserve"> </w:t>
      </w:r>
      <w:r>
        <w:t xml:space="preserve">levels</w:t>
      </w:r>
      <w:r>
        <w:t xml:space="preserve"> </w:t>
      </w:r>
      <w:r>
        <w:t xml:space="preserve">nor</w:t>
      </w:r>
      <w:r>
        <w:t xml:space="preserve"> </w:t>
      </w:r>
      <w:r>
        <w:t xml:space="preserve">ICERs</w:t>
      </w:r>
      <w:r>
        <w:t xml:space="preserve"> </w:t>
      </w:r>
      <w:r>
        <w:t xml:space="preserve">in</w:t>
      </w:r>
      <w:r>
        <w:t xml:space="preserve"> </w:t>
      </w:r>
      <w:r>
        <w:t xml:space="preserve">a</w:t>
      </w:r>
      <w:r>
        <w:t xml:space="preserve"> </w:t>
      </w:r>
      <w:r>
        <w:t xml:space="preserve">modeled</w:t>
      </w:r>
      <w:r>
        <w:t xml:space="preserve"> </w:t>
      </w:r>
      <w:r>
        <w:t xml:space="preserve">population.</w:t>
      </w:r>
    </w:p>
    <w:bookmarkStart w:id="24" w:name="sec-introduction"/>
    <w:p>
      <w:pPr>
        <w:pStyle w:val="Heading2"/>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Support for this work is graciously acknowledged from the</w:t>
            </w:r>
            <w:r>
              <w:t xml:space="preserve"> </w:t>
            </w:r>
            <w:hyperlink r:id="rId21">
              <w:r>
                <w:rPr>
                  <w:rStyle w:val="Hyperlink"/>
                </w:rPr>
                <w:t xml:space="preserve">Data to Policy</w:t>
              </w:r>
            </w:hyperlink>
            <w:r>
              <w:t xml:space="preserve"> </w:t>
            </w:r>
            <w:r>
              <w:t xml:space="preserve">program administered by Vital Strategies and the CDC Foundation with funding from the Bloomberg Philanthropies Data for Health Initiative</w:t>
            </w:r>
          </w:p>
        </w:tc>
      </w:tr>
    </w:tbl>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2"/>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(HTAs) and policy decisionmaking in high-income countries (HICs). DALYs differ from QALYs in important and model-relevant respects, including the use of reference life tables to calculate YLLs and standardized disability weights to calculate YLDs.</w:t>
      </w:r>
      <w:r>
        <w:rPr>
          <w:rStyle w:val="FootnoteReference"/>
        </w:rPr>
        <w:footnoteReference w:id="23"/>
      </w:r>
      <w:r>
        <w:t xml:space="preserve"> </w:t>
      </w:r>
      <w:r>
        <w:t xml:space="preserve">To the extent DALY-specific modeling considerations are taught, they are often considered in isolation and without a firm methodological grounding in</w:t>
      </w:r>
      <w:r>
        <w:t xml:space="preserve"> </w:t>
      </w:r>
      <w:r>
        <w:rPr>
          <w:iCs/>
          <w:i/>
        </w:rPr>
        <w:t xml:space="preserve">how</w:t>
      </w:r>
      <w:r>
        <w:t xml:space="preserve"> </w:t>
      </w:r>
      <w:r>
        <w:t xml:space="preserve">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discrete-time Markov cohort model is time homogeneous—that is, transition probabilities do not vary as a function of age/time in the model. However, our methods and code are developed to accommodate time-inhomogeneous models. Finally, recognizing the wide spectrum of experience and programming comfort level among practitioners, we offer two approaches for modeling DALYs (beginner, intermediate) and provide replication materials for implementing our approaches in R and Microsoft Excel.</w:t>
      </w:r>
    </w:p>
    <w:bookmarkEnd w:id="24"/>
    <w:bookmarkStart w:id="31" w:name="sec-background"/>
    <w:p>
      <w:pPr>
        <w:pStyle w:val="Heading2"/>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 TK.</w:t>
      </w:r>
    </w:p>
    <w:p>
      <w:pPr>
        <w:pStyle w:val="BodyText"/>
      </w:pPr>
      <w:r>
        <w:t xml:space="preserve">DALYs are the sum of two components: a morbidity component called years lost to disability (YLD), and a premature mortality component called years of life lost to disease (YLL)</w:t>
      </w:r>
      <w:r>
        <w:t xml:space="preserve"> </w:t>
      </w:r>
      <w:r>
        <w:t xml:space="preserve">(WHO 2020)</w:t>
      </w:r>
      <w:r>
        <w:t xml:space="preserve">. 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in part, from expert panels. Weights are standardized across geographies and are routinely updated and published on the GBD website</w:t>
      </w:r>
      <w:r>
        <w:t xml:space="preserve"> </w:t>
      </w:r>
      <w:r>
        <w:t xml:space="preserve">(WHO 2020)</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5"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5"/>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 of premature death,</w:t>
      </w:r>
      <w:r>
        <w:t xml:space="preserve"> </w:t>
      </w:r>
      <m:oMath>
        <m:r>
          <m:t>a</m:t>
        </m:r>
      </m:oMath>
      <w:r>
        <w:t xml:space="preserve">,</w:t>
      </w:r>
    </w:p>
    <w:p>
      <w:pPr>
        <w:pStyle w:val="BodyText"/>
      </w:pPr>
      <w:bookmarkStart w:id="26"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6"/>
    </w:p>
    <w:p>
      <w:pPr>
        <w:pStyle w:val="FirstParagraph"/>
      </w:pPr>
      <w:r>
        <w:t xml:space="preserve">For example, if an individual dies of a disease at age 60, and the remaining life expectancy for a 60 year-old is 30 years, then the YLL value for that individual would take a value of 30.</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 has utilized an</w:t>
      </w:r>
      <w:r>
        <w:t xml:space="preserve"> </w:t>
      </w:r>
      <w:r>
        <w:rPr>
          <w:iCs/>
          <w:i/>
        </w:rPr>
        <w:t xml:space="preserve">exogenous</w:t>
      </w:r>
      <w:r>
        <w:t xml:space="preserve">, external reference life table based on the maximum potential life span among humans</w:t>
      </w:r>
      <w:r>
        <w:t xml:space="preserve"> </w:t>
      </w:r>
      <w:r>
        <w:t xml:space="preserve">(WHO 2020; Global Burden of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(Global Burden of Disease Collaborative Network 2021)</w:t>
      </w:r>
      <w:r>
        <w:t xml:space="preserve">.</w:t>
      </w:r>
    </w:p>
    <w:p>
      <w:pPr>
        <w:pStyle w:val="BodyText"/>
      </w:pPr>
      <w:r>
        <w:t xml:space="preserve">Finally, DALYS are simply the sum of these two components:</w:t>
      </w:r>
    </w:p>
    <w:p>
      <w:pPr>
        <w:pStyle w:val="BodyText"/>
      </w:pPr>
      <w:bookmarkStart w:id="27"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7"/>
    </w:p>
    <w:bookmarkStart w:id="30" w:name="discounting"/>
    <w:p>
      <w:pPr>
        <w:pStyle w:val="Heading3"/>
      </w:pPr>
      <w:r>
        <w:t xml:space="preserve">2.1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2020)</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This creates a methodological tension between the GBD approach to quantifying disease burden, and WHO approaches for cost-effectiveness analysis and health technology assessments.</w:t>
      </w:r>
    </w:p>
    <w:p>
      <w:pPr>
        <w:pStyle w:val="BodyText"/>
      </w:pPr>
      <w:r>
        <w:t xml:space="preserve">To be comprehensive, we adopt the WHO-CHOICE recommendation and include discounting in our DALY modeling approach—though practitioners who do not wish to discount can simply set the discount rate to zero. One minor point of departure from standard methods is that we maintain the continuous-time discounting used in the original GBD DALY equations—which differs slightly from the more common use of discrete time discounting in Markov cohort models. We do so to allow for consistent discounting of YLDs and YLLs (which draws on continuous time discounting to calculate a present value of remaining life expectancy at the time of premature death).</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28"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28"/>
    </w:p>
    <w:p>
      <w:pPr>
        <w:pStyle w:val="FirstParagraph"/>
      </w:pPr>
      <w:r>
        <w:t xml:space="preserve">Similarly, YLLs are calculated as,</w:t>
      </w:r>
    </w:p>
    <w:p>
      <w:pPr>
        <w:pStyle w:val="BodyText"/>
      </w:pPr>
      <w:bookmarkStart w:id="29"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29"/>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ill, that point in time very likely occurs at some point after the baseline period—and different illness durations and death times will, of course, occur across individuals in a modeled cohort. As such, we must discount YLL and YLD outcomes further, to time</w:t>
      </w:r>
      <w:r>
        <w:t xml:space="preserve"> </w:t>
      </w:r>
      <m:oMath>
        <m:r>
          <m:t>t</m:t>
        </m:r>
        <m:r>
          <m:rPr>
            <m:sty m:val="p"/>
          </m:rPr>
          <m:t>=</m:t>
        </m:r>
        <m:r>
          <m:t>0</m:t>
        </m:r>
      </m:oMath>
      <w:r>
        <w:t xml:space="preserve"> </w:t>
      </w:r>
      <w:r>
        <w:t xml:space="preserve">period. This additional discounting step will become apparent in</w:t>
      </w:r>
      <w:r>
        <w:t xml:space="preserve"> </w:t>
      </w:r>
      <w:hyperlink w:anchor="sec-outcomes">
        <w:r>
          <w:rPr>
            <w:rStyle w:val="Hyperlink"/>
          </w:rPr>
          <w:t xml:space="preserve">Section 5</w:t>
        </w:r>
      </w:hyperlink>
      <w:r>
        <w:t xml:space="preserve"> </w:t>
      </w:r>
      <w:r>
        <w:t xml:space="preserve">below.</w:t>
      </w:r>
    </w:p>
    <w:bookmarkEnd w:id="30"/>
    <w:bookmarkEnd w:id="31"/>
    <w:bookmarkStart w:id="37" w:name="sec-overview"/>
    <w:p>
      <w:pPr>
        <w:pStyle w:val="Heading2"/>
      </w:pPr>
      <w:r>
        <w:t xml:space="preserve">3 Model Overview</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implements strategies A and B independently and concurrently.</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and as parameterized in our replication code,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p>
      <w:pPr>
        <w:pStyle w:val="BodyText"/>
      </w:pPr>
      <w:r>
        <w:t xml:space="preserve">An additional assumption is worth highlighting. In our model, disability weights are defined as one minus the utility weight. This is not generally the case, as DALY disability weights are derived from expert valuations and are standardized across countries and regions</w:t>
      </w:r>
      <w:r>
        <w:t xml:space="preserve"> </w:t>
      </w:r>
      <w:r>
        <w:t xml:space="preserve">(WHO 2020; Sassi 2006)</w:t>
      </w:r>
      <w:r>
        <w:t xml:space="preserve">. Utility weights, by contrast, are often derived from general population and/or patient samples and therefore differ across geographies</w:t>
      </w:r>
      <w:r>
        <w:t xml:space="preserve"> </w:t>
      </w:r>
      <w:r>
        <w:t xml:space="preserve">(Sassi 2006)</w:t>
      </w:r>
      <w:r>
        <w:t xml:space="preserve">. We have elected to parameterize our model in this way to hold this methodological difference fixed—that is, we aim to show how differences in methodological choices shape estimates of DALYs while holding fixed</w:t>
      </w:r>
      <w:r>
        <w:t xml:space="preserve"> </w:t>
      </w:r>
      <w:r>
        <w:rPr>
          <w:iCs/>
          <w:i/>
        </w:rPr>
        <w:t xml:space="preserve">additional</w:t>
      </w:r>
      <w:r>
        <w:t xml:space="preserve"> </w:t>
      </w:r>
      <w:r>
        <w:t xml:space="preserve">differences that might occur due to differences in the derivation of disability and utility weights.</w:t>
      </w:r>
    </w:p>
    <w:tbl>
      <w:tblPr>
        <w:tblStyle w:val="Table"/>
        <w:tblW w:type="pct" w:w="5000"/>
        <w:tblLook w:firstRow="0" w:lastRow="0" w:firstColumn="0" w:lastColumn="0" w:noHBand="0" w:noVBand="0" w:val="0000"/>
        <w:jc w:val="start"/>
        <w:tblLayout w:type="fixed"/>
      </w:tblPr>
      <w:tblGrid>
        <w:gridCol w:w="7920"/>
      </w:tblGrid>
      <w:tr>
        <w:tc>
          <w:tcPr/>
          <w:bookmarkStart w:id="35" w:name="fig-model1"/>
          <w:p>
            <w:pPr>
              <w:pStyle w:val="Compact"/>
              <w:jc w:val="center"/>
            </w:pPr>
            <w:r>
              <w:drawing>
                <wp:inline>
                  <wp:extent cx="5943600" cy="3538053"/>
                  <wp:effectExtent b="0" l="0" r="0" t="0"/>
                  <wp:docPr descr="" title="" id="33" name="Picture"/>
                  <a:graphic>
                    <a:graphicData uri="http://schemas.openxmlformats.org/drawingml/2006/picture">
                      <pic:pic>
                        <pic:nvPicPr>
                          <pic:cNvPr descr="images/state-transition-diagram-1.svg" id="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5"/>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6"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v_tx_names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(SoC,A,B,AB)'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 strategies (vector)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n_tx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treatment strategies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cycle_correction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half-cycle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correction method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v_tr_names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Transient health state names (vector)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v_ab_names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(DOC,DS)'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Absorbing health state names (vector)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of health states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horizon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time horizon (years)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health outcomes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cost outcomes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Delta_t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Time step (cycle length; 1=annual, 1/12=monthly, etc.)</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at baseline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healthy to sick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healthy</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sicker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Disease-free background mortality</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 state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sicker state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healthy [H]</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death [D]</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 [S1]</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sicker [S2]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healthy [H]</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 [S1]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sicker [S2]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death [D]</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A [S1,S2]</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treatment A [S1]</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Disbility weight: treatment A [S1]</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B [S1,S2]</w:t>
                  </w:r>
                </w:p>
              </w:tc>
            </w:tr>
            <w:tr>
              <w:trPr>
                <w:trHeight w:val="360" w:hRule="auto"/>
              </w:trPr>
              body32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hr_S1S2_trtB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Alarid-Escudero et al. (2023) and authors' assumptions.</w:t>
                  </w:r>
                </w:p>
              </w:tc>
            </w:tr>
          </w:tbl>
          <w:bookmarkEnd w:id="3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37"/>
    <w:bookmarkStart w:id="69" w:name="transition-matrices"/>
    <w:p>
      <w:pPr>
        <w:pStyle w:val="Heading2"/>
      </w:pPr>
      <w:r>
        <w:t xml:space="preserve">4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we develop two approaches for modeling DALY outcomes. We categorize each based on the level of experience and skill required: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38"/>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We show in</w:t>
      </w:r>
      <w:r>
        <w:t xml:space="preserve"> </w:t>
      </w:r>
      <w:hyperlink w:anchor="sec-results">
        <w:r>
          <w:rPr>
            <w:rStyle w:val="Hyperlink"/>
          </w:rPr>
          <w:t xml:space="preserve">Section 6</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2" w:name="Xc0163f341a00390901ec6a96c025e7116abf79c"/>
    <w:p>
      <w:pPr>
        <w:pStyle w:val="Heading3"/>
      </w:pPr>
      <w:r>
        <w:t xml:space="preserve">4.1 Approach 1 (Beginner): Cause-Specific Death State</w:t>
      </w:r>
    </w:p>
    <w:p>
      <w:pPr>
        <w:pStyle w:val="FirstParagraph"/>
      </w:pPr>
      <w:r>
        <w:t xml:space="preserve">Under this approach, we separate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2" w:name="fig-modelDS"/>
          <w:p>
            <w:pPr>
              <w:pStyle w:val="Compact"/>
              <w:jc w:val="center"/>
            </w:pPr>
            <w:r>
              <w:drawing>
                <wp:inline>
                  <wp:extent cx="5943600" cy="3485142"/>
                  <wp:effectExtent b="0" l="0" r="0" t="0"/>
                  <wp:docPr descr="" title="" id="40" name="Picture"/>
                  <a:graphic>
                    <a:graphicData uri="http://schemas.openxmlformats.org/drawingml/2006/picture">
                      <pic:pic>
                        <pic:nvPicPr>
                          <pic:cNvPr descr="images/state-transition-diagram-2.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2"/>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4" name="Picture"/>
            <a:graphic>
              <a:graphicData uri="http://schemas.openxmlformats.org/drawingml/2006/picture">
                <pic:pic>
                  <pic:nvPicPr>
                    <pic:cNvPr descr="images/Q_model2.png" id="45" name="Picture"/>
                    <pic:cNvPicPr>
                      <a:picLocks noChangeArrowheads="1" noChangeAspect="1"/>
                    </pic:cNvPicPr>
                  </pic:nvPicPr>
                  <pic:blipFill>
                    <a:blip r:embed="rId43"/>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6"/>
      </w:r>
    </w:p>
    <w:p>
      <w:pPr>
        <w:pStyle w:val="BodyText"/>
      </w:pPr>
      <w:bookmarkStart w:id="47"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47"/>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49" name="Picture"/>
            <a:graphic>
              <a:graphicData uri="http://schemas.openxmlformats.org/drawingml/2006/picture">
                <pic:pic>
                  <pic:nvPicPr>
                    <pic:cNvPr descr="images/P_model2.png" id="50" name="Picture"/>
                    <pic:cNvPicPr>
                      <a:picLocks noChangeArrowheads="1" noChangeAspect="1"/>
                    </pic:cNvPicPr>
                  </pic:nvPicPr>
                  <pic:blipFill>
                    <a:blip r:embed="rId48"/>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possibility of multiple transitions within a single cycle.</w:t>
      </w:r>
      <w:r>
        <w:rPr>
          <w:rStyle w:val="FootnoteReference"/>
        </w:rPr>
        <w:footnoteReference w:id="51"/>
      </w:r>
    </w:p>
    <w:bookmarkEnd w:id="52"/>
    <w:bookmarkStart w:id="68" w:name="X542e39889fb3e2daa3806f74369889340ed7148"/>
    <w:p>
      <w:pPr>
        <w:pStyle w:val="Heading3"/>
      </w:pPr>
      <w:r>
        <w:t xml:space="preserve">4.2 Approach 2 (Intermediate):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3"/>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57" w:name="fig-transition"/>
          <w:p>
            <w:pPr>
              <w:pStyle w:val="Compact"/>
              <w:jc w:val="center"/>
            </w:pPr>
            <w:r>
              <w:drawing>
                <wp:inline>
                  <wp:extent cx="5943600" cy="3538053"/>
                  <wp:effectExtent b="0" l="0" r="0" t="0"/>
                  <wp:docPr descr="" title="" id="55" name="Picture"/>
                  <a:graphic>
                    <a:graphicData uri="http://schemas.openxmlformats.org/drawingml/2006/picture">
                      <pic:pic>
                        <pic:nvPicPr>
                          <pic:cNvPr descr="images/state-transition-diagram-3.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57"/>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58"/>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0" name="Picture"/>
            <a:graphic>
              <a:graphicData uri="http://schemas.openxmlformats.org/drawingml/2006/picture">
                <pic:pic>
                  <pic:nvPicPr>
                    <pic:cNvPr descr="images/Q_model1.png" id="61" name="Picture"/>
                    <pic:cNvPicPr>
                      <a:picLocks noChangeArrowheads="1" noChangeAspect="1"/>
                    </pic:cNvPicPr>
                  </pic:nvPicPr>
                  <pic:blipFill>
                    <a:blip r:embed="rId59"/>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trDS</m:t>
        </m:r>
      </m:oMath>
      <w:r>
        <w:t xml:space="preserve"> </w:t>
      </w:r>
      <w:r>
        <w:t xml:space="preserve">will track all relevant transitions to death due to the disease. Because we are operating on the rate scale, we can net out non-disease 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2"/>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transition matrix.</w:t>
      </w:r>
      <w:r>
        <w:rPr>
          <w:rStyle w:val="FootnoteReference"/>
        </w:rPr>
        <w:footnoteReference w:id="64"/>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6" name="Picture"/>
            <a:graphic>
              <a:graphicData uri="http://schemas.openxmlformats.org/drawingml/2006/picture">
                <pic:pic>
                  <pic:nvPicPr>
                    <pic:cNvPr descr="images/P_model1.png" id="67" name="Picture"/>
                    <pic:cNvPicPr>
                      <a:picLocks noChangeArrowheads="1" noChangeAspect="1"/>
                    </pic:cNvPicPr>
                  </pic:nvPicPr>
                  <pic:blipFill>
                    <a:blip r:embed="rId65"/>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68"/>
    <w:bookmarkEnd w:id="69"/>
    <w:bookmarkStart w:id="95" w:name="sec-outcomes"/>
    <w:p>
      <w:pPr>
        <w:pStyle w:val="Heading2"/>
      </w:pPr>
      <w:r>
        <w:t xml:space="preserve">5 DALY Outcomes</w:t>
      </w:r>
    </w:p>
    <w:p>
      <w:pPr>
        <w:pStyle w:val="FirstParagraph"/>
      </w:pPr>
      <w:r>
        <w:t xml:space="preserve">We next define formulas for estimating outcomes. Our two approaches differ in how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w:t>
      </w:r>
    </w:p>
    <w:bookmarkStart w:id="73" w:name="markov-trace"/>
    <w:p>
      <w:pPr>
        <w:pStyle w:val="Heading3"/>
      </w:pPr>
      <w:r>
        <w:t xml:space="preserve">5.1 Markov Trace</w:t>
      </w:r>
    </w:p>
    <w:p>
      <w:pPr>
        <w:pStyle w:val="FirstParagraph"/>
      </w:pPr>
      <w:r>
        <w:t xml:space="preserve">YLL outcomes calculated under Approach 1 require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 Health state occupancy at time</w:t>
      </w:r>
      <w:r>
        <w:t xml:space="preserve"> </w:t>
      </w:r>
      <m:oMath>
        <m:r>
          <m:t>t</m:t>
        </m:r>
      </m:oMath>
      <w:r>
        <w:t xml:space="preserve"> </w:t>
      </w:r>
      <w:r>
        <w:t xml:space="preserve">is calculated as:</w:t>
      </w:r>
    </w:p>
    <w:p>
      <w:pPr>
        <w:pStyle w:val="BodyText"/>
      </w:pPr>
      <w:bookmarkStart w:id="70"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7</m:t>
              </m:r>
            </m:e>
          </m:d>
        </m:oMath>
      </m:oMathPara>
      <w:bookmarkEnd w:id="70"/>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71"/>
      </w:r>
    </w:p>
    <w:p>
      <w:pPr>
        <w:pStyle w:val="BodyText"/>
      </w:pPr>
      <w:r>
        <w:t xml:space="preserve">We apply</w:t>
      </w:r>
      <w:r>
        <w:t xml:space="preserve"> </w:t>
      </w:r>
      <w:hyperlink w:anchor="eq-trace">
        <w:r>
          <w:rPr>
            <w:rStyle w:val="Hyperlink"/>
          </w:rPr>
          <w:t xml:space="preserve">Equation 7</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72"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8</m:t>
              </m:r>
            </m:e>
          </m:d>
        </m:oMath>
      </m:oMathPara>
      <w:bookmarkEnd w:id="72"/>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reflects an assumption that</w:t>
      </w:r>
      <w:r>
        <w:t xml:space="preserve"> </w:t>
      </w:r>
      <m:oMath>
        <m:r>
          <m:t>t</m:t>
        </m:r>
        <m:r>
          <m:rPr>
            <m:sty m:val="p"/>
          </m:rPr>
          <m:t>=</m:t>
        </m:r>
        <m:r>
          <m:t>0</m:t>
        </m:r>
      </m:oMath>
      <w:r>
        <w:t xml:space="preserve"> </w:t>
      </w:r>
      <w:r>
        <w:t xml:space="preserve">represents the beginning of the first cycle, and transitions only occur</w:t>
      </w:r>
      <w:r>
        <w:t xml:space="preserve"> </w:t>
      </w:r>
      <w:r>
        <w:rPr>
          <w:iCs/>
          <w:i/>
        </w:rPr>
        <w:t xml:space="preserve">after</w:t>
      </w:r>
      <w:r>
        <w:t xml:space="preserve"> </w:t>
      </w:r>
      <w:r>
        <w:t xml:space="preserve">the time interval of the cycle is complete (i.e., at the end of the cycle). If we were to instead assume transitions</w:t>
      </w:r>
      <w:r>
        <w:t xml:space="preserve"> </w:t>
      </w:r>
      <w:r>
        <w:rPr>
          <w:iCs/>
          <w:i/>
        </w:rPr>
        <w:t xml:space="preserve">before</w:t>
      </w:r>
      <w:r>
        <w:t xml:space="preserve"> </w:t>
      </w:r>
      <w:r>
        <w:t xml:space="preserve">the time interval of the cycle (i.e., at the beginning), we would set the matrix to run from</w:t>
      </w:r>
      <w:r>
        <w:t xml:space="preserve"> </w:t>
      </w:r>
      <m:oMath>
        <m:r>
          <m:t>t</m:t>
        </m:r>
        <m:r>
          <m:rPr>
            <m:sty m:val="p"/>
          </m:rPr>
          <m:t>=</m:t>
        </m:r>
        <m:r>
          <m:t>1</m:t>
        </m:r>
      </m:oMath>
      <w:r>
        <w:t xml:space="preserve"> </w:t>
      </w:r>
      <w:r>
        <w:t xml:space="preserve">to</w:t>
      </w:r>
      <w:r>
        <w:t xml:space="preserve"> </w:t>
      </w:r>
      <m:oMath>
        <m:r>
          <m:t>ω</m:t>
        </m:r>
      </m:oMath>
      <w:r>
        <w:t xml:space="preserve"> </w:t>
      </w:r>
      <w:r>
        <w:t xml:space="preserve">instead.</w:t>
      </w:r>
    </w:p>
    <w:bookmarkEnd w:id="73"/>
    <w:bookmarkStart w:id="83" w:name="years-of-life-lived-with-disability-yld"/>
    <w:p>
      <w:pPr>
        <w:pStyle w:val="Heading3"/>
      </w:pPr>
      <w:r>
        <w:t xml:space="preserve">5.2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75" name="Picture"/>
            <a:graphic>
              <a:graphicData uri="http://schemas.openxmlformats.org/drawingml/2006/picture">
                <pic:pic>
                  <pic:nvPicPr>
                    <pic:cNvPr descr="images/d_yld.png" id="76" name="Picture"/>
                    <pic:cNvPicPr>
                      <a:picLocks noChangeArrowheads="1" noChangeAspect="1"/>
                    </pic:cNvPicPr>
                  </pic:nvPicPr>
                  <pic:blipFill>
                    <a:blip r:embed="rId74"/>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77"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9</m:t>
              </m:r>
            </m:e>
          </m:d>
        </m:oMath>
      </m:oMathPara>
      <w:bookmarkEnd w:id="77"/>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to maintain the continuous-time discounting approach used in the original GBD equations</w:t>
      </w:r>
      <w:r>
        <w:t xml:space="preserve"> </w:t>
      </w:r>
      <w:r>
        <w:t xml:space="preserve">(Larson 2013)</w:t>
      </w:r>
      <w:r>
        <w:t xml:space="preserve">.</w:t>
      </w:r>
      <w:r>
        <w:rPr>
          <w:rStyle w:val="FootnoteReference"/>
        </w:rPr>
        <w:footnoteReference w:id="78"/>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79" w:name="eq-yldt"/>
      <m:oMathPara>
        <m:oMathParaPr>
          <m:jc m:val="center"/>
        </m:oMathParaPr>
        <m:oMath>
          <m:r>
            <m:t>Y</m:t>
          </m:r>
          <m:r>
            <m:t>L</m:t>
          </m:r>
          <m:sSub>
            <m:e>
              <m:r>
                <m:t>D</m:t>
              </m:r>
            </m:e>
            <m:sub>
              <m:r>
                <m:t>t</m:t>
              </m:r>
            </m:sub>
          </m:sSub>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10</m:t>
              </m:r>
            </m:e>
          </m:d>
        </m:oMath>
      </m:oMathPara>
      <w:bookmarkEnd w:id="79"/>
    </w:p>
    <w:p>
      <w:pPr>
        <w:pStyle w:val="FirstParagraph"/>
      </w:pPr>
      <w:r>
        <w:t xml:space="preserve">Total discounted YLDs are obtained by summing cycle-specific discounted YLD outcomes,</w:t>
      </w:r>
    </w:p>
    <w:p>
      <w:pPr>
        <w:pStyle w:val="BodyText"/>
      </w:pPr>
      <w:bookmarkStart w:id="80"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11</m:t>
              </m:r>
            </m:e>
          </m:d>
        </m:oMath>
      </m:oMathPara>
      <w:bookmarkEnd w:id="80"/>
    </w:p>
    <w:p>
      <w:pPr>
        <w:pStyle w:val="FirstParagraph"/>
      </w:pPr>
      <w:r>
        <w:t xml:space="preserve">We can incorporate additional cycle adjustments (e.g., half-cycle adjustment or an adjustment based on Simpson’s rule) by defining an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81"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12</m:t>
              </m:r>
            </m:e>
          </m:d>
        </m:oMath>
      </m:oMathPara>
      <w:bookmarkEnd w:id="81"/>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p>
    <w:p>
      <w:pPr>
        <w:pStyle w:val="BodyText"/>
      </w:pPr>
      <w:r>
        <w:t xml:space="preserve">Finally, an equivalent way to calculate YLD outcomes is through matrix multiplication of the Markov trace matrix and the YLD payoff vector,</w:t>
      </w:r>
    </w:p>
    <w:p>
      <w:pPr>
        <w:pStyle w:val="BodyText"/>
      </w:pPr>
      <w:bookmarkStart w:id="82"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13</m:t>
              </m:r>
            </m:e>
          </m:d>
        </m:oMath>
      </m:oMathPara>
      <w:bookmarkEnd w:id="82"/>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83"/>
    <w:bookmarkStart w:id="88" w:name="Xb3bef7c4057894b8d07aa19f3ffbd570d2c3628"/>
    <w:p>
      <w:pPr>
        <w:pStyle w:val="Heading3"/>
      </w:pPr>
      <w:r>
        <w:t xml:space="preserve">5.3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 in</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84"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14</m:t>
              </m:r>
            </m:e>
          </m:d>
        </m:oMath>
      </m:oMathPara>
      <w:bookmarkEnd w:id="84"/>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85"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15</m:t>
              </m:r>
            </m:e>
          </m:d>
        </m:oMath>
      </m:oMathPara>
      <w:bookmarkEnd w:id="85"/>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(i.e., an external life table representing maximum length of life observed in the modern world), or an endogenous life table (i.e., a life table representing life expectancy of the modeled population),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w:r>
        <w:rPr>
          <w:rStyle w:val="VerbatimChar"/>
        </w:rPr>
        <w:t xml:space="preserve">DS</w:t>
      </w:r>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86"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16</m:t>
              </m:r>
            </m:e>
          </m:d>
        </m:oMath>
      </m:oMathPara>
      <w:bookmarkEnd w:id="86"/>
    </w:p>
    <w:p>
      <w:pPr>
        <w:pStyle w:val="FirstParagraph"/>
      </w:pPr>
      <w:r>
        <w:t xml:space="preserve">Total discounted YLLs are given by,</w:t>
      </w:r>
    </w:p>
    <w:p>
      <w:pPr>
        <w:pStyle w:val="BodyText"/>
      </w:pPr>
      <w:bookmarkStart w:id="87"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17</m:t>
              </m:r>
            </m:e>
          </m:d>
        </m:oMath>
      </m:oMathPara>
      <w:bookmarkEnd w:id="87"/>
    </w:p>
    <w:bookmarkEnd w:id="88"/>
    <w:bookmarkStart w:id="94" w:name="X44799b0392508918d8874fd08d4455d69a16b6b"/>
    <w:p>
      <w:pPr>
        <w:pStyle w:val="Heading3"/>
      </w:pPr>
      <w:r>
        <w:t xml:space="preserve">5.4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w:r>
        <w:rPr>
          <w:rStyle w:val="VerbatimChar"/>
        </w:rPr>
        <w:t xml:space="preserve">trDS</w:t>
      </w:r>
      <w:r>
        <w:t xml:space="preserve">) and zeros elsewhere,</w:t>
      </w:r>
    </w:p>
    <w:p>
      <w:pPr>
        <w:pStyle w:val="BodyText"/>
      </w:pPr>
      <w:r>
        <w:drawing>
          <wp:inline>
            <wp:extent cx="2377440" cy="1217998"/>
            <wp:effectExtent b="0" l="0" r="0" t="0"/>
            <wp:docPr descr="" title="" id="90" name="Picture"/>
            <a:graphic>
              <a:graphicData uri="http://schemas.openxmlformats.org/drawingml/2006/picture">
                <pic:pic>
                  <pic:nvPicPr>
                    <pic:cNvPr descr="images/d_yll.png" id="91" name="Picture"/>
                    <pic:cNvPicPr>
                      <a:picLocks noChangeArrowheads="1" noChangeAspect="1"/>
                    </pic:cNvPicPr>
                  </pic:nvPicPr>
                  <pic:blipFill>
                    <a:blip r:embed="rId89"/>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92"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L</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18</m:t>
              </m:r>
            </m:e>
          </m:d>
        </m:oMath>
      </m:oMathPara>
      <w:bookmarkEnd w:id="92"/>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93"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19</m:t>
              </m:r>
            </m:e>
          </m:d>
        </m:oMath>
      </m:oMathPara>
      <w:bookmarkEnd w:id="93"/>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94"/>
    <w:bookmarkEnd w:id="95"/>
    <w:bookmarkStart w:id="100" w:name="sec-results"/>
    <w:p>
      <w:pPr>
        <w:pStyle w:val="Heading2"/>
      </w:pPr>
      <w:r>
        <w:t xml:space="preserve">6 Results</w:t>
      </w:r>
    </w:p>
    <w:bookmarkStart w:id="97" w:name="Xa02540c6f59e24771de06959257959ed2b453e9"/>
    <w:p>
      <w:pPr>
        <w:pStyle w:val="Heading3"/>
      </w:pPr>
      <w:r>
        <w:t xml:space="preserve">6.1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Note that because Approaches 1 and 2 yield identical values, we only present one set of estimates in the table.</w:t>
      </w:r>
    </w:p>
    <w:tbl>
      <w:tblPr>
        <w:tblStyle w:val="Table"/>
        <w:tblW w:type="pct" w:w="5000"/>
        <w:tblLook w:firstRow="0" w:lastRow="0" w:firstColumn="0" w:lastColumn="0" w:noHBand="0" w:noVBand="0" w:val="0000"/>
        <w:jc w:val="start"/>
        <w:tblLayout w:type="fixed"/>
      </w:tblPr>
      <w:tblGrid>
        <w:gridCol w:w="7920"/>
      </w:tblGrid>
      <w:tr>
        <w:tc>
          <w:tcPr/>
          <w:bookmarkStart w:id="96" w:name="tbl-compare1"/>
          <w:p>
            <w:pPr>
              <w:jc w:val="center"/>
            </w:pPr>
            <w:pPr>
              <w:jc w:val="start"/>
              <w:spacing w:before="200"/>
              <w:pStyle w:val="ImageCaption"/>
            </w:pPr>
            <w:r>
              <w:t xml:space="preserve">Table 2: Years of Life Lived With Disability, Years of Life Lost to Disease, and Disability-Adjusted Life Years, by Strategy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080"/>
              <w:gridCol w:w="72"/>
              <w:gridCol w:w="1080"/>
              <w:gridCol w:w="72"/>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Strategy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Living With Disease (YLDs)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of Life Lost to Premature Mortality (YLLs)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Disability-Adjusted Life Years (DALYs)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3.707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r>
          </w:tbl>
          <w:bookmarkEnd w:id="9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97"/>
    <w:bookmarkStart w:id="99" w:name="X6f6046c3d1a4b56f5249b5bc60f64bef24ea41a"/>
    <w:p>
      <w:pPr>
        <w:pStyle w:val="Heading3"/>
      </w:pPr>
      <w:r>
        <w:t xml:space="preserve">6.2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two DALY approaches. The table also includes results under two</w:t>
      </w:r>
      <w:r>
        <w:t xml:space="preserve"> </w:t>
      </w:r>
      <w:r>
        <w:t xml:space="preserve">“</w:t>
      </w:r>
      <w:r>
        <w:t xml:space="preserve">shortcut</w:t>
      </w:r>
      <w:r>
        <w:t xml:space="preserve">”</w:t>
      </w:r>
      <w:r>
        <w:t xml:space="preserve"> </w:t>
      </w:r>
      <w:r>
        <w:t xml:space="preserve">DALY strategies.</w:t>
      </w:r>
    </w:p>
    <w:tbl>
      <w:tblPr>
        <w:tblStyle w:val="Table"/>
        <w:tblW w:type="pct" w:w="5000"/>
        <w:tblLook w:firstRow="0" w:lastRow="0" w:firstColumn="0" w:lastColumn="0" w:noHBand="0" w:noVBand="0" w:val="0000"/>
        <w:jc w:val="start"/>
        <w:tblLayout w:type="fixed"/>
      </w:tblPr>
      <w:tblGrid>
        <w:gridCol w:w="7920"/>
      </w:tblGrid>
      <w:tr>
        <w:tc>
          <w:tcPr/>
          <w:bookmarkStart w:id="98"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440"/>
              <w:gridCol w:w="72"/>
              <w:gridCol w:w="1440"/>
              <w:gridCol w:w="72"/>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Approaches 1 &amp; 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1: Accumulate Death State Occupancy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2: QALY-like DALY</w:t>
                  </w:r>
                </w:p>
              </w:tc>
            </w:tr>
            <w:tr>
              <w:trPr>
                <w:trHeight w:val="360" w:hRule="auto"/>
              </w:trPr>
              body 1
              <w:tc>
                <w:tcPr>
                  <w:gridSpan w:val="7"/>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r>
            <w:tr>
              <w:trPr>
                <w:trHeight w:val="360" w:hRule="auto"/>
              </w:trPr>
              body 6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DALY</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21.872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23.699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24.579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8.918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22.59</w:t>
                  </w:r>
                </w:p>
              </w:tc>
            </w:tr>
            <w:tr>
              <w:trPr>
                <w:trHeight w:val="360"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ICER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75,320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56,808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58,567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142,058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135,813</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r>
          </w:tbl>
          <w:bookmarkEnd w:id="98"/>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First, the method labeled</w:t>
      </w:r>
      <w:r>
        <w:t xml:space="preserve"> </w:t>
      </w:r>
      <w:r>
        <w:rPr>
          <w:bCs/>
          <w:b/>
        </w:rPr>
        <w:t xml:space="preserve">death state occupancy</w:t>
      </w:r>
      <w:r>
        <w:t xml:space="preserve"> </w:t>
      </w:r>
      <w:r>
        <w:t xml:space="preserve">defines cycle payoffs based on the disease weight for the diseased health states, and a payoff value of 1.0 for the disease-related death state. Inclusion of disease weights facilitates accumulation of YLDs; YLLs are calculated by accumulating time in the disease-related death state. This approach to YLLs is endogenous to the model, i.e., it does not incorporate exogenous life expectancy information from the GBD reference life table.</w:t>
      </w:r>
    </w:p>
    <w:p>
      <w:pPr>
        <w:pStyle w:val="BodyText"/>
      </w:pPr>
      <w:r>
        <w:t xml:space="preserve">The death state occupancy method yields DALY estimates that are 34% higher than our approaches, and results in an ICER that is 25% lower for Strategy B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more similar between our approaches and the death state occupancy method.</w:t>
      </w:r>
    </w:p>
    <w:p>
      <w:pPr>
        <w:pStyle w:val="BodyText"/>
      </w:pPr>
      <w:r>
        <w:t xml:space="preserve">Next, the approach labeled</w:t>
      </w:r>
      <w:r>
        <w:t xml:space="preserve"> </w:t>
      </w:r>
      <w:r>
        <w:rPr>
          <w:bCs/>
          <w:b/>
        </w:rPr>
        <w:t xml:space="preserve">QALY-like DALY</w:t>
      </w:r>
      <w:r>
        <w:t xml:space="preserve"> </w:t>
      </w:r>
      <w:r>
        <w:t xml:space="preserve">defines the cycle occupancy payoff for the sick and sicker states as one minus the disability weight; as in many QALY applications, the healthy state receives a payoff value of 1.0. Because we have defined the disability weight in this example as one minus the utility weight, the</w:t>
      </w:r>
      <w:r>
        <w:t xml:space="preserve"> </w:t>
      </w:r>
      <w:r>
        <w:rPr>
          <w:bCs/>
          <w:b/>
        </w:rPr>
        <w:t xml:space="preserve">QALY-like DALY</w:t>
      </w:r>
      <w:r>
        <w:t xml:space="preserve"> </w:t>
      </w:r>
      <w:r>
        <w:t xml:space="preserve">approach yields estimates that are equivalent to estimating standard QALY outcomes.</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differentially improves quality of life.</w:t>
      </w:r>
    </w:p>
    <w:bookmarkEnd w:id="99"/>
    <w:bookmarkEnd w:id="100"/>
    <w:bookmarkStart w:id="102" w:name="discussion"/>
    <w:p>
      <w:pPr>
        <w:pStyle w:val="Heading2"/>
      </w:pPr>
      <w:r>
        <w:t xml:space="preserve">7 Discussion</w:t>
      </w:r>
    </w:p>
    <w:p>
      <w:pPr>
        <w:pStyle w:val="FirstParagraph"/>
      </w:pPr>
      <w:r>
        <w:t xml:space="preserve">This study extends the methodological toolkit available to decision modelers by introducing two DALY estimation methods. Our approaches are designed to fit a spectrum of experience and skill—thus making our methods accessible to any practitioner who aims to include DALYs in their decision model. Our results demonstrate that both beginner and intermediate approaches yield similar values for DALY levels and incremental cost-effectiveness ratios in a progressive disease model constructed for didactic purposes.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greatly impact ICER calculations that make comparisons</w:t>
      </w:r>
      <w:r>
        <w:t xml:space="preserve"> </w:t>
      </w:r>
      <w:r>
        <w:rPr>
          <w:iCs/>
          <w:i/>
        </w:rPr>
        <w:t xml:space="preserve">across</w:t>
      </w:r>
      <w:r>
        <w:t xml:space="preserve"> </w:t>
      </w:r>
      <w:r>
        <w:t xml:space="preserve">strategies, but will yield inaccurate DALY levels in a modeled population.</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01"/>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each of our approaches facilitate the estimation of other common outcomes such as QALYs, life-years, etc.</w:t>
      </w:r>
    </w:p>
    <w:bookmarkEnd w:id="102"/>
    <w:bookmarkStart w:id="128" w:name="references"/>
    <w:p>
      <w:pPr>
        <w:pStyle w:val="Heading2"/>
      </w:pPr>
      <w:r>
        <w:t xml:space="preserve">References</w:t>
      </w:r>
    </w:p>
    <w:bookmarkStart w:id="127" w:name="refs"/>
    <w:bookmarkStart w:id="103"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03"/>
    <w:bookmarkStart w:id="105"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04">
        <w:r>
          <w:rPr>
            <w:rStyle w:val="Hyperlink"/>
          </w:rPr>
          <w:t xml:space="preserve">https://doi.org/10.2139/ssrn.3451311</w:t>
        </w:r>
      </w:hyperlink>
      <w:r>
        <w:t xml:space="preserve">.</w:t>
      </w:r>
    </w:p>
    <w:bookmarkEnd w:id="105"/>
    <w:bookmarkStart w:id="107"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06">
        <w:r>
          <w:rPr>
            <w:rStyle w:val="Hyperlink"/>
          </w:rPr>
          <w:t xml:space="preserve">https://doi.org/10.34172/ijhpm.2020.244</w:t>
        </w:r>
      </w:hyperlink>
      <w:r>
        <w:t xml:space="preserve">.</w:t>
      </w:r>
    </w:p>
    <w:bookmarkEnd w:id="107"/>
    <w:bookmarkStart w:id="109"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08">
        <w:r>
          <w:rPr>
            <w:rStyle w:val="Hyperlink"/>
          </w:rPr>
          <w:t xml:space="preserve">https://doi.org/10.1017/s0266462320000124</w:t>
        </w:r>
      </w:hyperlink>
      <w:r>
        <w:t xml:space="preserve">.</w:t>
      </w:r>
    </w:p>
    <w:bookmarkEnd w:id="109"/>
    <w:bookmarkStart w:id="111"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10">
        <w:r>
          <w:rPr>
            <w:rStyle w:val="Hyperlink"/>
          </w:rPr>
          <w:t xml:space="preserve">https://doi.org/10.1093/heapol/16.3.326</w:t>
        </w:r>
      </w:hyperlink>
      <w:r>
        <w:t xml:space="preserve">.</w:t>
      </w:r>
    </w:p>
    <w:bookmarkEnd w:id="111"/>
    <w:bookmarkStart w:id="113" w:name="Xbb1be6a14052dc7db1b873668128cce3adcbadf"/>
    <w:p>
      <w:pPr>
        <w:pStyle w:val="Bibliography"/>
      </w:pPr>
      <w:r>
        <w:t xml:space="preserve">Global Burden of Disease Collaborative Network.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12">
        <w:r>
          <w:rPr>
            <w:rStyle w:val="Hyperlink"/>
          </w:rPr>
          <w:t xml:space="preserve">https://doi.org/10.6069/1D4Y-YQ37</w:t>
        </w:r>
      </w:hyperlink>
      <w:r>
        <w:t xml:space="preserve">.</w:t>
      </w:r>
    </w:p>
    <w:bookmarkEnd w:id="113"/>
    <w:bookmarkStart w:id="115"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14">
        <w:r>
          <w:rPr>
            <w:rStyle w:val="Hyperlink"/>
          </w:rPr>
          <w:t xml:space="preserve">https://doi.org/10.1177/0272989x21995805</w:t>
        </w:r>
      </w:hyperlink>
      <w:r>
        <w:t xml:space="preserve">.</w:t>
      </w:r>
    </w:p>
    <w:bookmarkEnd w:id="115"/>
    <w:bookmarkStart w:id="116"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16"/>
    <w:bookmarkStart w:id="117"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17"/>
    <w:bookmarkStart w:id="119"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18">
        <w:r>
          <w:rPr>
            <w:rStyle w:val="Hyperlink"/>
          </w:rPr>
          <w:t xml:space="preserve">https://doi.org/10.1016/s0140-6736(20)30752-2</w:t>
        </w:r>
      </w:hyperlink>
      <w:r>
        <w:t xml:space="preserve">.</w:t>
      </w:r>
    </w:p>
    <w:bookmarkEnd w:id="119"/>
    <w:bookmarkStart w:id="121"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20">
        <w:r>
          <w:rPr>
            <w:rStyle w:val="Hyperlink"/>
          </w:rPr>
          <w:t xml:space="preserve">https://doi.org/10.1016/s0140-6736(96)07493-4</w:t>
        </w:r>
      </w:hyperlink>
      <w:r>
        <w:t xml:space="preserve">.</w:t>
      </w:r>
    </w:p>
    <w:bookmarkEnd w:id="121"/>
    <w:bookmarkStart w:id="122" w:name="ref-sassi2006calculating"/>
    <w:p>
      <w:pPr>
        <w:pStyle w:val="Bibliography"/>
      </w:pPr>
      <w:r>
        <w:t xml:space="preserve">Sassi, Franco. 2006.</w:t>
      </w:r>
      <w:r>
        <w:t xml:space="preserve"> </w:t>
      </w:r>
      <w:r>
        <w:t xml:space="preserve">“Calculating QALYs, Comparing QALY and DALY Calculations.”</w:t>
      </w:r>
      <w:r>
        <w:t xml:space="preserve"> </w:t>
      </w:r>
      <w:r>
        <w:rPr>
          <w:iCs/>
          <w:i/>
        </w:rPr>
        <w:t xml:space="preserve">Health Policy and Planning</w:t>
      </w:r>
      <w:r>
        <w:t xml:space="preserve"> </w:t>
      </w:r>
      <w:r>
        <w:t xml:space="preserve">21 (5): 402–8.</w:t>
      </w:r>
    </w:p>
    <w:bookmarkEnd w:id="122"/>
    <w:bookmarkStart w:id="124" w:name="ref-who2020methods"/>
    <w:p>
      <w:pPr>
        <w:pStyle w:val="Bibliography"/>
      </w:pPr>
      <w:r>
        <w:t xml:space="preserve">WHO, Geneva. 2020.</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23">
        <w:r>
          <w:rPr>
            <w:rStyle w:val="Hyperlink"/>
          </w:rPr>
          <w:t xml:space="preserve">https://cdn.who.int/media/docs/default-source/gho-documents/global-health-estimates/ghe2019_daly-methods.pdf</w:t>
        </w:r>
      </w:hyperlink>
      <w:r>
        <w:t xml:space="preserve">.</w:t>
      </w:r>
    </w:p>
    <w:bookmarkEnd w:id="124"/>
    <w:bookmarkStart w:id="126"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25">
        <w:r>
          <w:rPr>
            <w:rStyle w:val="Hyperlink"/>
          </w:rPr>
          <w:t xml:space="preserve">https://doi.org/10.1016/j.jval.2016.04.015</w:t>
        </w:r>
      </w:hyperlink>
      <w:r>
        <w:t xml:space="preserve">.</w:t>
      </w:r>
    </w:p>
    <w:bookmarkEnd w:id="126"/>
    <w:bookmarkEnd w:id="127"/>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8"/>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3">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38">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6">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t>m</m:t>
        </m:r>
        <m:r>
          <m:t>a</m:t>
        </m:r>
        <m:r>
          <m:t>t</m:t>
        </m:r>
        <m:r>
          <m:t>h</m:t>
        </m:r>
        <m:r>
          <m:t>b</m:t>
        </m:r>
        <m:r>
          <m:t>f</m:t>
        </m:r>
        <m: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1">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w:t>
      </w:r>
    </w:p>
  </w:footnote>
  <w:footnote w:id="53">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58">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2">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3">
        <w:r>
          <w:rPr>
            <w:rStyle w:val="Hyperlink"/>
          </w:rPr>
          <w:t xml:space="preserve">example here</w:t>
        </w:r>
      </w:hyperlink>
    </w:p>
  </w:footnote>
  <w:footnote w:id="64">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71">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7</w:t>
        </w:r>
      </w:hyperlink>
      <w:r>
        <w:t xml:space="preserve"> </w:t>
      </w:r>
      <w:r>
        <w:t xml:space="preserve">simplifies to</w:t>
      </w:r>
      <w:r>
        <w:t xml:space="preserve"> </w:t>
      </w: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p>
          <m:e>
            <m:r>
              <m:rPr>
                <m:sty m:val="b"/>
              </m:rPr>
              <m:t>P</m:t>
            </m:r>
          </m:e>
          <m:sup>
            <m:r>
              <m:t>t</m:t>
            </m:r>
          </m:sup>
        </m:sSup>
      </m:oMath>
      <w:r>
        <w:t xml:space="preserve">.</w:t>
      </w:r>
    </w:p>
  </w:footnote>
  <w:footnote w:id="78">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101">
    <w:p>
      <w:pPr>
        <w:pStyle w:val="FootnoteText"/>
      </w:pPr>
      <w:r>
        <w:rPr>
          <w:rStyle w:val="FootnoteReference"/>
        </w:rPr>
        <w:footnoteRef/>
      </w:r>
      <w:r>
        <w:t xml:space="preserve"> </w:t>
      </w:r>
      <w:r>
        <w:t xml:space="preserve">Our R code cannot accommodate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48" Target="media/rId4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74" Target="media/rId74.png" /><Relationship Type="http://schemas.openxmlformats.org/officeDocument/2006/relationships/image" Id="rId89" Target="media/rId89.png" /><Relationship Type="http://schemas.openxmlformats.org/officeDocument/2006/relationships/image" Id="rId32" Target="media/rId32.svg" /><Relationship Type="http://schemas.openxmlformats.org/officeDocument/2006/relationships/image" Id="rId39" Target="media/rId39.svg" /><Relationship Type="http://schemas.openxmlformats.org/officeDocument/2006/relationships/image" Id="rId54" Target="media/rId54.svg" /><Relationship Type="http://schemas.openxmlformats.org/officeDocument/2006/relationships/hyperlink" Id="rId123" Target="https://cdn.who.int/media/docs/default-source/gho-documents/global-health-estimates/ghe2019_daly-methods.pdf" TargetMode="External" /><Relationship Type="http://schemas.openxmlformats.org/officeDocument/2006/relationships/hyperlink" Id="rId125" Target="https://doi.org/10.1016/j.jval.2016.04.015" TargetMode="External" /><Relationship Type="http://schemas.openxmlformats.org/officeDocument/2006/relationships/hyperlink" Id="rId118" Target="https://doi.org/10.1016/s0140-6736(20)30752-2" TargetMode="External" /><Relationship Type="http://schemas.openxmlformats.org/officeDocument/2006/relationships/hyperlink" Id="rId120" Target="https://doi.org/10.1016/s0140-6736(96)07493-4" TargetMode="External" /><Relationship Type="http://schemas.openxmlformats.org/officeDocument/2006/relationships/hyperlink" Id="rId108" Target="https://doi.org/10.1017/s0266462320000124" TargetMode="External" /><Relationship Type="http://schemas.openxmlformats.org/officeDocument/2006/relationships/hyperlink" Id="rId110" Target="https://doi.org/10.1093/heapol/16.3.326" TargetMode="External" /><Relationship Type="http://schemas.openxmlformats.org/officeDocument/2006/relationships/hyperlink" Id="rId114" Target="https://doi.org/10.1177/0272989x21995805" TargetMode="External" /><Relationship Type="http://schemas.openxmlformats.org/officeDocument/2006/relationships/hyperlink" Id="rId104" Target="https://doi.org/10.2139/ssrn.3451311" TargetMode="External" /><Relationship Type="http://schemas.openxmlformats.org/officeDocument/2006/relationships/hyperlink" Id="rId106" Target="https://doi.org/10.34172/ijhpm.2020.244" TargetMode="External" /><Relationship Type="http://schemas.openxmlformats.org/officeDocument/2006/relationships/hyperlink" Id="rId112" Target="https://doi.org/10.6069/1D4Y-YQ37" TargetMode="External" /><Relationship Type="http://schemas.openxmlformats.org/officeDocument/2006/relationships/hyperlink" Id="rId20" Target="https://graveja0.github.io/dalys/index.qmd.html" TargetMode="External" /><Relationship Type="http://schemas.openxmlformats.org/officeDocument/2006/relationships/hyperlink" Id="rId63"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_rels/footnotes.xml.rels><?xml version="1.0" encoding="UTF-8"?><Relationships xmlns="http://schemas.openxmlformats.org/package/2006/relationships"><Relationship Type="http://schemas.openxmlformats.org/officeDocument/2006/relationships/hyperlink" Id="rId123" Target="https://cdn.who.int/media/docs/default-source/gho-documents/global-health-estimates/ghe2019_daly-methods.pdf" TargetMode="External" /><Relationship Type="http://schemas.openxmlformats.org/officeDocument/2006/relationships/hyperlink" Id="rId125" Target="https://doi.org/10.1016/j.jval.2016.04.015" TargetMode="External" /><Relationship Type="http://schemas.openxmlformats.org/officeDocument/2006/relationships/hyperlink" Id="rId118" Target="https://doi.org/10.1016/s0140-6736(20)30752-2" TargetMode="External" /><Relationship Type="http://schemas.openxmlformats.org/officeDocument/2006/relationships/hyperlink" Id="rId120" Target="https://doi.org/10.1016/s0140-6736(96)07493-4" TargetMode="External" /><Relationship Type="http://schemas.openxmlformats.org/officeDocument/2006/relationships/hyperlink" Id="rId108" Target="https://doi.org/10.1017/s0266462320000124" TargetMode="External" /><Relationship Type="http://schemas.openxmlformats.org/officeDocument/2006/relationships/hyperlink" Id="rId110" Target="https://doi.org/10.1093/heapol/16.3.326" TargetMode="External" /><Relationship Type="http://schemas.openxmlformats.org/officeDocument/2006/relationships/hyperlink" Id="rId114" Target="https://doi.org/10.1177/0272989x21995805" TargetMode="External" /><Relationship Type="http://schemas.openxmlformats.org/officeDocument/2006/relationships/hyperlink" Id="rId104" Target="https://doi.org/10.2139/ssrn.3451311" TargetMode="External" /><Relationship Type="http://schemas.openxmlformats.org/officeDocument/2006/relationships/hyperlink" Id="rId106" Target="https://doi.org/10.34172/ijhpm.2020.244" TargetMode="External" /><Relationship Type="http://schemas.openxmlformats.org/officeDocument/2006/relationships/hyperlink" Id="rId112" Target="https://doi.org/10.6069/1D4Y-YQ37" TargetMode="External" /><Relationship Type="http://schemas.openxmlformats.org/officeDocument/2006/relationships/hyperlink" Id="rId20" Target="https://graveja0.github.io/dalys/index.qmd.html" TargetMode="External" /><Relationship Type="http://schemas.openxmlformats.org/officeDocument/2006/relationships/hyperlink" Id="rId63"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dc:title>
  <dc:creator>John Graves; Jinyi Zhu; Grace Ratcliff; Hannah Peterson; Marie Martin; Shawn Garbett; Ashley Leech</dc:creator>
  <cp:keywords>Cost-Effectiveness Analysis, Microsimulation, Discrete Event Simulation, Markov Cohort Models</cp:keywords>
  <dcterms:created xsi:type="dcterms:W3CDTF">2024-07-19T16:32:53Z</dcterms:created>
  <dcterms:modified xsi:type="dcterms:W3CDTF">2024-07-19T16:32:53Z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outlines methods for direct incorporation of multidimensional health outcomes in common decision modeling frameworks, with a particular focus on disability-adjusted life years (DALYs) and its constituent parts—years of life lived with disability (YLDs) and years of life lost to premature mortality (YLLs). Recognizing the wide spectrum of experience and programming comfort level among practitioners, we offer two approaches (beginner, intermediate). Our beginner approach draws on the Markov trace, while the intermediate approach facilitates more efficient estimation for computationally-intensive exercises (e.g., microsimulation, probabilistic sensitivity analyses) by incorporating non-Markovian tracking elements into transition probability matrices. Drawing on an existing disease progression discrete time Markov cohort model, we demonstrate exact or near- numeric equivalence of DALY estimates and cost-effectiveness analysis results across our methods, and show that other commonly used “shortcuts” for estimating DALYs will not, in general, yield accurate estimates of DALY levels nor ICERs in a modeled population.</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2024-07-19</vt:lpwstr>
  </property>
  <property fmtid="{D5CDD505-2E9C-101B-9397-08002B2CF9AE}" pid="10" name="editor_options">
    <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ghtbox">
    <vt:lpwstr>auto</vt:lpwstr>
  </property>
  <property fmtid="{D5CDD505-2E9C-101B-9397-08002B2CF9AE}" pid="18" name="manuscript">
    <vt:lpwstr/>
  </property>
  <property fmtid="{D5CDD505-2E9C-101B-9397-08002B2CF9AE}" pid="19" name="notebook-preview-options">
    <vt:lpwstr/>
  </property>
  <property fmtid="{D5CDD505-2E9C-101B-9397-08002B2CF9AE}" pid="20" name="plain-language-summary">
    <vt:lpwstr>Modeling Disability-Adjusted Life Years for Policy and Decision Analysis</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