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2.png" ContentType="image/png"/>
  <Override PartName="/word/media/rId66.png" ContentType="image/png"/>
  <Override PartName="/word/media/rId49.png" ContentType="image/png"/>
  <Override PartName="/word/media/rId60.png" ContentType="image/png"/>
  <Override PartName="/word/media/rId44.png" ContentType="image/png"/>
  <Override PartName="/word/media/rId86.png" ContentType="image/png"/>
  <Override PartName="/word/media/rId101.png" ContentType="image/png"/>
  <Override PartName="/word/media/rId33.svg" ContentType="image/svg+xml"/>
  <Override PartName="/word/media/rId40.svg" ContentType="image/svg+xml"/>
  <Override PartName="/word/media/rId55.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Date"/>
      </w:pPr>
      <w:r>
        <w:t xml:space="preserve">2024-03-19</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three</w:t>
      </w:r>
      <w:r>
        <w:t xml:space="preserve"> </w:t>
      </w:r>
      <w:r>
        <w:t xml:space="preserve">approaches</w:t>
      </w:r>
      <w:r>
        <w:t xml:space="preserve"> </w:t>
      </w:r>
      <w:r>
        <w:t xml:space="preserve">(beginner,</w:t>
      </w:r>
      <w:r>
        <w:t xml:space="preserve"> </w:t>
      </w:r>
      <w:r>
        <w:t xml:space="preserve">intermediate</w:t>
      </w:r>
      <w:r>
        <w:t xml:space="preserve"> </w:t>
      </w:r>
      <w:r>
        <w:t xml:space="preserve">and</w:t>
      </w:r>
      <w:r>
        <w:t xml:space="preserve"> </w:t>
      </w:r>
      <w:r>
        <w:t xml:space="preserve">advanced).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Finally,</w:t>
      </w:r>
      <w:r>
        <w:t xml:space="preserve"> </w:t>
      </w:r>
      <w:r>
        <w:t xml:space="preserve">our</w:t>
      </w:r>
      <w:r>
        <w:t xml:space="preserve"> </w:t>
      </w:r>
      <w:r>
        <w:t xml:space="preserve">advanced</w:t>
      </w:r>
      <w:r>
        <w:t xml:space="preserve"> </w:t>
      </w:r>
      <w:r>
        <w:t xml:space="preserve">approach</w:t>
      </w:r>
      <w:r>
        <w:t xml:space="preserve"> </w:t>
      </w:r>
      <w:r>
        <w:t xml:space="preserve">adapts</w:t>
      </w:r>
      <w:r>
        <w:t xml:space="preserve"> </w:t>
      </w:r>
      <w:r>
        <w:t xml:space="preserve">methods</w:t>
      </w:r>
      <w:r>
        <w:t xml:space="preserve"> </w:t>
      </w:r>
      <w:r>
        <w:t xml:space="preserve">from</w:t>
      </w:r>
      <w:r>
        <w:t xml:space="preserve"> </w:t>
      </w:r>
      <w:r>
        <w:t xml:space="preserve">mathematical</w:t>
      </w:r>
      <w:r>
        <w:t xml:space="preserve"> </w:t>
      </w:r>
      <w:r>
        <w:t xml:space="preserve">demography.</w:t>
      </w:r>
      <w:r>
        <w:t xml:space="preserve"> </w:t>
      </w:r>
      <w:r>
        <w:t xml:space="preserve">This</w:t>
      </w:r>
      <w:r>
        <w:t xml:space="preserve"> </w:t>
      </w:r>
      <w:r>
        <w:t xml:space="preserve">approach</w:t>
      </w:r>
      <w:r>
        <w:t xml:space="preserve"> </w:t>
      </w:r>
      <w:r>
        <w:t xml:space="preserve">allows</w:t>
      </w:r>
      <w:r>
        <w:t xml:space="preserve"> </w:t>
      </w:r>
      <w:r>
        <w:t xml:space="preserve">for</w:t>
      </w:r>
      <w:r>
        <w:t xml:space="preserve"> </w:t>
      </w:r>
      <w:r>
        <w:t xml:space="preserve">direct</w:t>
      </w:r>
      <w:r>
        <w:t xml:space="preserve"> </w:t>
      </w:r>
      <w:r>
        <w:t xml:space="preserve">calculation</w:t>
      </w:r>
      <w:r>
        <w:t xml:space="preserve"> </w:t>
      </w:r>
      <w:r>
        <w:t xml:space="preserve">of</w:t>
      </w:r>
      <w:r>
        <w:t xml:space="preserve"> </w:t>
      </w:r>
      <w:r>
        <w:t xml:space="preserve">expected</w:t>
      </w:r>
      <w:r>
        <w:t xml:space="preserve"> </w:t>
      </w:r>
      <w:r>
        <w:t xml:space="preserve">values</w:t>
      </w:r>
      <w:r>
        <w:t xml:space="preserve"> </w:t>
      </w:r>
      <w:r>
        <w:t xml:space="preserve">without</w:t>
      </w:r>
      <w:r>
        <w:t xml:space="preserve"> </w:t>
      </w:r>
      <w:r>
        <w:t xml:space="preserve">the</w:t>
      </w:r>
      <w:r>
        <w:t xml:space="preserve"> </w:t>
      </w:r>
      <w:r>
        <w:t xml:space="preserve">need</w:t>
      </w:r>
      <w:r>
        <w:t xml:space="preserve"> </w:t>
      </w:r>
      <w:r>
        <w:t xml:space="preserve">for</w:t>
      </w:r>
      <w:r>
        <w:t xml:space="preserve"> </w:t>
      </w:r>
      <w:r>
        <w:t xml:space="preserve">a</w:t>
      </w:r>
      <w:r>
        <w:t xml:space="preserve"> </w:t>
      </w:r>
      <w:r>
        <w:t xml:space="preserve">Markov</w:t>
      </w:r>
      <w:r>
        <w:t xml:space="preserve"> </w:t>
      </w:r>
      <w:r>
        <w:t xml:space="preserve">trace,</w:t>
      </w:r>
      <w:r>
        <w:t xml:space="preserve"> </w:t>
      </w:r>
      <w:r>
        <w:t xml:space="preserve">and</w:t>
      </w:r>
      <w:r>
        <w:t xml:space="preserve"> </w:t>
      </w:r>
      <w:r>
        <w:t xml:space="preserve">facilitates</w:t>
      </w:r>
      <w:r>
        <w:t xml:space="preserve"> </w:t>
      </w:r>
      <w:r>
        <w:t xml:space="preserve">additional</w:t>
      </w:r>
      <w:r>
        <w:t xml:space="preserve"> </w:t>
      </w:r>
      <w:r>
        <w:t xml:space="preserve">insights</w:t>
      </w:r>
      <w:r>
        <w:t xml:space="preserve"> </w:t>
      </w:r>
      <w:r>
        <w:t xml:space="preserve">because</w:t>
      </w:r>
      <w:r>
        <w:t xml:space="preserve"> </w:t>
      </w:r>
      <w:r>
        <w:t xml:space="preserve">it</w:t>
      </w:r>
      <w:r>
        <w:t xml:space="preserve"> </w:t>
      </w:r>
      <w:r>
        <w:t xml:space="preserve">can</w:t>
      </w:r>
      <w:r>
        <w:t xml:space="preserve"> </w:t>
      </w:r>
      <w:r>
        <w:t xml:space="preserve">also</w:t>
      </w:r>
      <w:r>
        <w:t xml:space="preserve"> </w:t>
      </w:r>
      <w:r>
        <w:t xml:space="preserve">solve</w:t>
      </w:r>
      <w:r>
        <w:t xml:space="preserve"> </w:t>
      </w:r>
      <w:r>
        <w:t xml:space="preserve">for</w:t>
      </w:r>
      <w:r>
        <w:t xml:space="preserve"> </w:t>
      </w:r>
      <w:r>
        <w:t xml:space="preserve">higher-order</w:t>
      </w:r>
      <w:r>
        <w:t xml:space="preserve"> </w:t>
      </w:r>
      <w:r>
        <w:t xml:space="preserve">moments</w:t>
      </w:r>
      <w:r>
        <w:t xml:space="preserve"> </w:t>
      </w:r>
      <w:r>
        <w:t xml:space="preserve">in</w:t>
      </w:r>
      <w:r>
        <w:t xml:space="preserve"> </w:t>
      </w:r>
      <w:r>
        <w:t xml:space="preserve">the</w:t>
      </w:r>
      <w:r>
        <w:t xml:space="preserve"> </w:t>
      </w:r>
      <w:r>
        <w:t xml:space="preserve">health</w:t>
      </w:r>
      <w:r>
        <w:t xml:space="preserve"> </w:t>
      </w:r>
      <w:r>
        <w:t xml:space="preserve">outcome</w:t>
      </w:r>
      <w:r>
        <w:t xml:space="preserve"> </w:t>
      </w:r>
      <w:r>
        <w:t xml:space="preserve">distribution</w:t>
      </w:r>
      <w:r>
        <w:t xml:space="preserve"> </w:t>
      </w:r>
      <w:r>
        <w:t xml:space="preserve">(e.g.,</w:t>
      </w:r>
      <w:r>
        <w:t xml:space="preserve"> </w:t>
      </w:r>
      <w:r>
        <w:t xml:space="preserve">variance,</w:t>
      </w:r>
      <w:r>
        <w:t xml:space="preserve"> </w:t>
      </w:r>
      <w:r>
        <w:t xml:space="preserve">skewness).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three</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4"/>
    <w:bookmarkStart w:id="32"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1"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8"/>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9"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9"/>
    </w:p>
    <w:p>
      <w:pPr>
        <w:pStyle w:val="FirstParagraph"/>
      </w:pPr>
      <w:r>
        <w:t xml:space="preserve">Similarly, YLLs are calculated as,</w:t>
      </w:r>
    </w:p>
    <w:p>
      <w:pPr>
        <w:pStyle w:val="BodyText"/>
      </w:pPr>
      <w:bookmarkStart w:id="30"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0"/>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1"/>
    <w:bookmarkEnd w:id="32"/>
    <w:bookmarkStart w:id="38"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6" w:name="fig-model1"/>
          <w:p>
            <w:pPr>
              <w:pStyle w:val="Compact"/>
              <w:jc w:val="center"/>
            </w:pPr>
            <w:r>
              <w:drawing>
                <wp:inline>
                  <wp:extent cx="5943600" cy="3538053"/>
                  <wp:effectExtent b="0" l="0" r="0" t="0"/>
                  <wp:docPr descr="" title="" id="34" name="Picture"/>
                  <a:graphic>
                    <a:graphicData uri="http://schemas.openxmlformats.org/drawingml/2006/picture">
                      <pic:pic>
                        <pic:nvPicPr>
                          <pic:cNvPr descr="images/state-transition-diagram-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7"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8"/>
    <w:bookmarkStart w:id="8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9"/>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3"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3" w:name="fig-modelDS"/>
          <w:p>
            <w:pPr>
              <w:pStyle w:val="Compact"/>
              <w:jc w:val="center"/>
            </w:pPr>
            <w:r>
              <w:drawing>
                <wp:inline>
                  <wp:extent cx="5943600" cy="3485142"/>
                  <wp:effectExtent b="0" l="0" r="0" t="0"/>
                  <wp:docPr descr="" title="" id="41" name="Picture"/>
                  <a:graphic>
                    <a:graphicData uri="http://schemas.openxmlformats.org/drawingml/2006/picture">
                      <pic:pic>
                        <pic:nvPicPr>
                          <pic:cNvPr descr="images/state-transition-diagram-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3"/>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5" name="Picture"/>
            <a:graphic>
              <a:graphicData uri="http://schemas.openxmlformats.org/drawingml/2006/picture">
                <pic:pic>
                  <pic:nvPicPr>
                    <pic:cNvPr descr="images/Q_model2.png" id="46" name="Picture"/>
                    <pic:cNvPicPr>
                      <a:picLocks noChangeArrowheads="1" noChangeAspect="1"/>
                    </pic:cNvPicPr>
                  </pic:nvPicPr>
                  <pic:blipFill>
                    <a:blip r:embed="rId44"/>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7"/>
      </w:r>
    </w:p>
    <w:p>
      <w:pPr>
        <w:pStyle w:val="BodyText"/>
      </w:pPr>
      <w:bookmarkStart w:id="48"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8"/>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0" name="Picture"/>
            <a:graphic>
              <a:graphicData uri="http://schemas.openxmlformats.org/drawingml/2006/picture">
                <pic:pic>
                  <pic:nvPicPr>
                    <pic:cNvPr descr="images/P_model2.png" id="51" name="Picture"/>
                    <pic:cNvPicPr>
                      <a:picLocks noChangeArrowheads="1" noChangeAspect="1"/>
                    </pic:cNvPicPr>
                  </pic:nvPicPr>
                  <pic:blipFill>
                    <a:blip r:embed="rId49"/>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2"/>
      </w:r>
    </w:p>
    <w:bookmarkEnd w:id="53"/>
    <w:bookmarkStart w:id="69"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4"/>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8" w:name="fig-transition"/>
          <w:p>
            <w:pPr>
              <w:pStyle w:val="Compact"/>
              <w:jc w:val="center"/>
            </w:pPr>
            <w:r>
              <w:drawing>
                <wp:inline>
                  <wp:extent cx="5943600" cy="3538053"/>
                  <wp:effectExtent b="0" l="0" r="0" t="0"/>
                  <wp:docPr descr="" title="" id="56" name="Picture"/>
                  <a:graphic>
                    <a:graphicData uri="http://schemas.openxmlformats.org/drawingml/2006/picture">
                      <pic:pic>
                        <pic:nvPicPr>
                          <pic:cNvPr descr="images/state-transition-diagram-3.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8"/>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9"/>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1" name="Picture"/>
            <a:graphic>
              <a:graphicData uri="http://schemas.openxmlformats.org/drawingml/2006/picture">
                <pic:pic>
                  <pic:nvPicPr>
                    <pic:cNvPr descr="images/Q_model1.png" id="62" name="Picture"/>
                    <pic:cNvPicPr>
                      <a:picLocks noChangeArrowheads="1" noChangeAspect="1"/>
                    </pic:cNvPicPr>
                  </pic:nvPicPr>
                  <pic:blipFill>
                    <a:blip r:embed="rId60"/>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3"/>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5"/>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7" name="Picture"/>
            <a:graphic>
              <a:graphicData uri="http://schemas.openxmlformats.org/drawingml/2006/picture">
                <pic:pic>
                  <pic:nvPicPr>
                    <pic:cNvPr descr="images/P_model1.png" id="68" name="Picture"/>
                    <pic:cNvPicPr>
                      <a:picLocks noChangeArrowheads="1" noChangeAspect="1"/>
                    </pic:cNvPicPr>
                  </pic:nvPicPr>
                  <pic:blipFill>
                    <a:blip r:embed="rId66"/>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9"/>
    <w:bookmarkStart w:id="80"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70"/>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1"/>
      </w:r>
      <w:r>
        <w:t xml:space="preserve"> </w:t>
      </w:r>
      <w:r>
        <w:t xml:space="preserve">The matrix</w:t>
      </w:r>
      <w:r>
        <w:t xml:space="preserve"> </w:t>
      </w:r>
      <m:oMath>
        <m:sSub>
          <m:e>
            <m:r>
              <m:rPr>
                <m:sty m:val="b"/>
              </m:rPr>
              <m:t>U</m:t>
            </m:r>
          </m:e>
          <m:sub>
            <m:r>
              <m:t>t</m:t>
            </m:r>
          </m:sub>
        </m:sSub>
      </m:oMath>
      <w:r>
        <w:t xml:space="preserve"> </w:t>
      </w:r>
      <w:r>
        <w:t xml:space="preserve">captures transition 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 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 (</w:t>
      </w:r>
      <w:r>
        <w:t xml:space="preserve">“</w:t>
      </w:r>
      <w:r>
        <w:t xml:space="preserve">intensity</w:t>
      </w:r>
      <w:r>
        <w:t xml:space="preserve">”</w:t>
      </w:r>
      <w:r>
        <w:t xml:space="preserve">) matrices as in Approaches 1 and 2 above. One important (minor) difference is that the rows 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 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2"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2"/>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 non-absorbing) states and</w:t>
      </w:r>
      <w:r>
        <w:t xml:space="preserve"> </w:t>
      </w:r>
      <m:oMath>
        <m:sSub>
          <m:e>
            <m:r>
              <m:rPr>
                <m:sty m:val="b"/>
              </m:rPr>
              <m:t>S</m:t>
            </m:r>
          </m:e>
          <m:sub>
            <m:r>
              <m:t>t</m:t>
            </m:r>
          </m:sub>
        </m:sSub>
      </m:oMath>
      <w:r>
        <w:t xml:space="preserve"> </w:t>
      </w:r>
      <w:r>
        <w:t xml:space="preserve">is the rate matrix for the absorbing states. The diagonal elements of</w:t>
      </w:r>
      <w:r>
        <w:t xml:space="preserve"> </w:t>
      </w:r>
      <m:oMath>
        <m:sSub>
          <m:e>
            <m:r>
              <m:rPr>
                <m:sty m:val="b"/>
              </m:rPr>
              <m:t>Q</m:t>
            </m:r>
          </m:e>
          <m:sub>
            <m:r>
              <m:t>t</m:t>
            </m:r>
          </m:sub>
        </m:sSub>
      </m:oMath>
      <w:r>
        <w:t xml:space="preserve"> </w:t>
      </w:r>
      <w:r>
        <w:t xml:space="preserve">are the negative sum of 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 transition probability matrix</w:t>
      </w:r>
      <w:r>
        <w:t xml:space="preserve"> </w:t>
      </w:r>
      <m:oMath>
        <m:sSub>
          <m:e>
            <m:r>
              <m:rPr>
                <m:sty m:val="b"/>
              </m:rPr>
              <m:t>P</m:t>
            </m:r>
          </m:e>
          <m:sub>
            <m:r>
              <m:t>t</m:t>
            </m:r>
          </m:sub>
        </m:sSub>
      </m:oMath>
      <w:r>
        <w:t xml:space="preserve"> </w:t>
      </w:r>
      <w:r>
        <w:t xml:space="preserve">is again obtained by taking the matrix exponential of the intensity matrix (</w:t>
      </w:r>
      <m:oMath>
        <m:sSub>
          <m:e>
            <m:r>
              <m:rPr>
                <m:sty m:val="b"/>
              </m:rPr>
              <m:t>Q</m:t>
            </m:r>
          </m:e>
          <m:sub>
            <m:r>
              <m:t>t</m:t>
            </m:r>
          </m:sub>
        </m:sSub>
      </m:oMath>
      <w:r>
        <w:t xml:space="preserve">) multiplied by 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3"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3"/>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4"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4"/>
    </w:p>
    <w:p>
      <w:pPr>
        <w:pStyle w:val="FirstParagraph"/>
      </w:pPr>
      <w:r>
        <w:t xml:space="preserve">In our implementation, we include the (optional) value of one in the lower right corner; this assumes that after the last specified age, the cohort continues to experience transitions among health states according to the transition probabilities defined for the last age class. If this value is zero, the model will assume that everyone dies after the last cycle.</w:t>
      </w:r>
    </w:p>
    <w:p>
      <w:pPr>
        <w:pStyle w:val="BodyText"/>
      </w:pPr>
      <w:r>
        <w:t xml:space="preserve">We next combine the transition matrices (for all age classes as defined by discrete time cycles) together into a series of block-structured matrices as follows:</w:t>
      </w:r>
    </w:p>
    <w:p>
      <w:pPr>
        <w:pStyle w:val="BodyText"/>
      </w:pPr>
      <w:bookmarkStart w:id="75" w:name="eq-bbU"/>
      <w:r>
        <w:t xml:space="preserve">$$
\mathbb{U}=\left(\begin{array}{c|c|c}
\mathbf{U}_1 &amp; \cdots &amp; \mathbf{0} \\
\hline &amp; \ddots &amp; \\
\hline \mathbf{0} &amp; \cdots &amp; \mathbf{U}_\omega
\end{array}\right)
 \qquad(10)$$</w:t>
      </w:r>
      <w:bookmarkEnd w:id="75"/>
    </w:p>
    <w:p>
      <w:pPr>
        <w:pStyle w:val="FirstParagraph"/>
      </w:pPr>
      <w:bookmarkStart w:id="76" w:name="eq-BBD"/>
      <w:r>
        <w:t xml:space="preserve">$$
\mathbb{D}=\left(\begin{array}{c|c|c}
\mathbf{D}_1 &amp; \cdots &amp; \mathbf{0} \\
\hline &amp; \ddots &amp; \\
\hline \mathbf{0} &amp; \cdots &amp; \mathbf{D}_\tau
\end{array}\right)
 \qquad(11)$$</w:t>
      </w:r>
      <w:bookmarkEnd w:id="76"/>
    </w:p>
    <w:p>
      <w:pPr>
        <w:pStyle w:val="FirstParagraph"/>
      </w:pPr>
      <w:bookmarkStart w:id="77"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7"/>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8"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8"/>
    </w:p>
    <w:p>
      <w:pPr>
        <w:pStyle w:val="FirstParagraph"/>
      </w:pPr>
      <w:r>
        <w:t xml:space="preserve">Finally, we capture the entire Markov chain in a block transition matrix,</w:t>
      </w:r>
    </w:p>
    <w:p>
      <w:pPr>
        <w:pStyle w:val="BodyText"/>
      </w:pPr>
      <w:bookmarkStart w:id="79"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9"/>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80"/>
    <w:bookmarkEnd w:id="81"/>
    <w:bookmarkStart w:id="107"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5"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is calculated as:</w:t>
      </w:r>
    </w:p>
    <w:p>
      <w:pPr>
        <w:pStyle w:val="BodyText"/>
      </w:pPr>
      <w:bookmarkStart w:id="8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3"/>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5"/>
    <w:bookmarkStart w:id="95"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7" name="Picture"/>
            <a:graphic>
              <a:graphicData uri="http://schemas.openxmlformats.org/drawingml/2006/picture">
                <pic:pic>
                  <pic:nvPicPr>
                    <pic:cNvPr descr="images/d_yld.png" id="88" name="Picture"/>
                    <pic:cNvPicPr>
                      <a:picLocks noChangeArrowheads="1" noChangeAspect="1"/>
                    </pic:cNvPicPr>
                  </pic:nvPicPr>
                  <pic:blipFill>
                    <a:blip r:embed="rId8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9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1"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1"/>
    </w:p>
    <w:p>
      <w:pPr>
        <w:pStyle w:val="FirstParagraph"/>
      </w:pPr>
      <w:r>
        <w:t xml:space="preserve">Total discounted YLDs are obtained by summing cycle-specific discounted YLD outcomes,</w:t>
      </w:r>
    </w:p>
    <w:p>
      <w:pPr>
        <w:pStyle w:val="BodyText"/>
      </w:pPr>
      <w:bookmarkStart w:id="9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2"/>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5"/>
    <w:bookmarkStart w:id="10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8"/>
    </w:p>
    <w:p>
      <w:pPr>
        <w:pStyle w:val="FirstParagraph"/>
      </w:pPr>
      <w:r>
        <w:t xml:space="preserve">Total discounted YLLs are given by,</w:t>
      </w:r>
    </w:p>
    <w:p>
      <w:pPr>
        <w:pStyle w:val="BodyText"/>
      </w:pPr>
      <w:bookmarkStart w:id="9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9"/>
    </w:p>
    <w:bookmarkEnd w:id="100"/>
    <w:bookmarkStart w:id="10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2" name="Picture"/>
            <a:graphic>
              <a:graphicData uri="http://schemas.openxmlformats.org/drawingml/2006/picture">
                <pic:pic>
                  <pic:nvPicPr>
                    <pic:cNvPr descr="images/d_yll.png" id="103" name="Picture"/>
                    <pic:cNvPicPr>
                      <a:picLocks noChangeArrowheads="1" noChangeAspect="1"/>
                    </pic:cNvPicPr>
                  </pic:nvPicPr>
                  <pic:blipFill>
                    <a:blip r:embed="rId10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6"/>
    <w:bookmarkEnd w:id="107"/>
    <w:bookmarkStart w:id="123"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 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7"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 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1" w:name="fig-H-le"/>
          <w:p>
            <w:pPr>
              <w:pStyle w:val="Compact"/>
              <w:jc w:val="center"/>
            </w:pPr>
            <w:r>
              <w:drawing>
                <wp:inline>
                  <wp:extent cx="2377440" cy="1123880"/>
                  <wp:effectExtent b="0" l="0" r="0" t="0"/>
                  <wp:docPr descr="" title="" id="109" name="Picture"/>
                  <a:graphic>
                    <a:graphicData uri="http://schemas.openxmlformats.org/drawingml/2006/picture">
                      <pic:pic>
                        <pic:nvPicPr>
                          <pic:cNvPr descr="images/H-LE.png" id="110" name="Picture"/>
                          <pic:cNvPicPr>
                            <a:picLocks noChangeArrowheads="1" noChangeAspect="1"/>
                          </pic:cNvPicPr>
                        </pic:nvPicPr>
                        <pic:blipFill>
                          <a:blip r:embed="rId108"/>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1"/>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 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 (i.e., values of 1.0 become 0, and vice versa).</w:t>
      </w:r>
    </w:p>
    <w:p>
      <w:pPr>
        <w:pStyle w:val="BodyText"/>
      </w:pPr>
      <w:r>
        <w:t xml:space="preserve">We next define additional matrix</w:t>
      </w:r>
      <w:r>
        <w:t xml:space="preserve"> </w:t>
      </w:r>
      <m:oMath>
        <m:r>
          <m:rPr>
            <m:sty m:val="b"/>
          </m:rPr>
          <m:t>V</m:t>
        </m:r>
      </m:oMath>
      <w:r>
        <w:t xml:space="preserve">, which has the same structure 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5" w:name="fig-H-yld"/>
          <w:p>
            <w:pPr>
              <w:pStyle w:val="Compact"/>
              <w:jc w:val="center"/>
            </w:pPr>
            <w:r>
              <w:drawing>
                <wp:inline>
                  <wp:extent cx="3566160" cy="977752"/>
                  <wp:effectExtent b="0" l="0" r="0" t="0"/>
                  <wp:docPr descr="" title="" id="113" name="Picture"/>
                  <a:graphic>
                    <a:graphicData uri="http://schemas.openxmlformats.org/drawingml/2006/picture">
                      <pic:pic>
                        <pic:nvPicPr>
                          <pic:cNvPr descr="images/H-YLD.png" id="114" name="Picture"/>
                          <pic:cNvPicPr>
                            <a:picLocks noChangeArrowheads="1" noChangeAspect="1"/>
                          </pic:cNvPicPr>
                        </pic:nvPicPr>
                        <pic:blipFill>
                          <a:blip r:embed="rId112"/>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5"/>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 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6"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 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6"/>
    <w:bookmarkEnd w:id="117"/>
    <w:bookmarkStart w:id="118"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 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 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8"/>
    <w:bookmarkStart w:id="122"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9"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9"/>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 calculated as</w:t>
      </w:r>
    </w:p>
    <w:p>
      <w:pPr>
        <w:pStyle w:val="BodyText"/>
      </w:pPr>
      <w:bookmarkStart w:id="120"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20"/>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 different baseline age-health state combinations (e.g., DALYs for healthy 55 year-old adults). We obtain these expected outcomes by,</w:t>
      </w:r>
    </w:p>
    <w:p>
      <w:pPr>
        <w:pStyle w:val="BodyText"/>
      </w:pPr>
      <w:bookmarkStart w:id="121"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1"/>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2"/>
    <w:bookmarkEnd w:id="123"/>
    <w:bookmarkStart w:id="128" w:name="sec-results"/>
    <w:p>
      <w:pPr>
        <w:pStyle w:val="Heading2"/>
      </w:pPr>
      <w:r>
        <w:t xml:space="preserve">7 Results</w:t>
      </w:r>
    </w:p>
    <w:bookmarkStart w:id="125"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2% of those under Approaches 1 &amp; 2. YLLs have the largest difference (up to 5%), while YLDs have the lowest (around 1%).</w:t>
      </w:r>
    </w:p>
    <w:tbl>
      <w:tblPr>
        <w:tblStyle w:val="Table"/>
        <w:tblW w:type="pct" w:w="5000"/>
        <w:tblLook w:firstRow="0" w:lastRow="0" w:firstColumn="0" w:lastColumn="0" w:noHBand="0" w:noVBand="0" w:val="0000"/>
        <w:jc w:val="start"/>
        <w:tblLayout w:type="fixed"/>
      </w:tblPr>
      <w:tblGrid>
        <w:gridCol w:w="7920"/>
      </w:tblGrid>
      <w:tr>
        <w:tc>
          <w:tcPr/>
          <w:bookmarkStart w:id="124"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1080"/>
              <w:gridCol w:w="72"/>
              <w:gridCol w:w="1080"/>
              <w:gridCol w:w="1080"/>
              <w:gridCol w:w="72"/>
              <w:gridCol w:w="1080"/>
              <w:gridCol w:w="1080"/>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4.608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7.183</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5.758</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4.890</w:t>
                  </w:r>
                </w:p>
              </w:tc>
            </w:tr>
          </w:tbl>
          <w:bookmarkEnd w:id="12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5"/>
    <w:bookmarkStart w:id="127"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6"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8"/>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153,685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247,354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362,476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282,525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65,749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53,119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r>
          </w:tbl>
          <w:bookmarkEnd w:id="12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7"/>
    <w:bookmarkEnd w:id="128"/>
    <w:bookmarkStart w:id="130"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9"/>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30"/>
    <w:bookmarkStart w:id="162" w:name="references"/>
    <w:p>
      <w:pPr>
        <w:pStyle w:val="Heading2"/>
      </w:pPr>
      <w:r>
        <w:t xml:space="preserve">References</w:t>
      </w:r>
    </w:p>
    <w:bookmarkStart w:id="161" w:name="refs"/>
    <w:bookmarkStart w:id="131"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1"/>
    <w:bookmarkStart w:id="133"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2">
        <w:r>
          <w:rPr>
            <w:rStyle w:val="Hyperlink"/>
          </w:rPr>
          <w:t xml:space="preserve">https://doi.org/10.2139/ssrn.3451311</w:t>
        </w:r>
      </w:hyperlink>
      <w:r>
        <w:t xml:space="preserve">.</w:t>
      </w:r>
    </w:p>
    <w:bookmarkEnd w:id="133"/>
    <w:bookmarkStart w:id="13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4">
        <w:r>
          <w:rPr>
            <w:rStyle w:val="Hyperlink"/>
          </w:rPr>
          <w:t xml:space="preserve">https://doi.org/10.34172/ijhpm.2020.244</w:t>
        </w:r>
      </w:hyperlink>
      <w:r>
        <w:t xml:space="preserve">.</w:t>
      </w:r>
    </w:p>
    <w:bookmarkEnd w:id="135"/>
    <w:bookmarkStart w:id="137"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6">
        <w:r>
          <w:rPr>
            <w:rStyle w:val="Hyperlink"/>
          </w:rPr>
          <w:t xml:space="preserve">https://doi.org/10.4054/demres.2021.45.13</w:t>
        </w:r>
      </w:hyperlink>
      <w:r>
        <w:t xml:space="preserve">.</w:t>
      </w:r>
    </w:p>
    <w:bookmarkEnd w:id="137"/>
    <w:bookmarkStart w:id="139"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8">
        <w:r>
          <w:rPr>
            <w:rStyle w:val="Hyperlink"/>
          </w:rPr>
          <w:t xml:space="preserve">https://doi.org/10.1186/s12963-018-0165-5</w:t>
        </w:r>
      </w:hyperlink>
      <w:r>
        <w:t xml:space="preserve">.</w:t>
      </w:r>
    </w:p>
    <w:bookmarkEnd w:id="139"/>
    <w:bookmarkStart w:id="141"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40">
        <w:r>
          <w:rPr>
            <w:rStyle w:val="Hyperlink"/>
          </w:rPr>
          <w:t xml:space="preserve">https://doi.org/10.1017/s0266462320000124</w:t>
        </w:r>
      </w:hyperlink>
      <w:r>
        <w:t xml:space="preserve">.</w:t>
      </w:r>
    </w:p>
    <w:bookmarkEnd w:id="141"/>
    <w:bookmarkStart w:id="143"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2">
        <w:r>
          <w:rPr>
            <w:rStyle w:val="Hyperlink"/>
          </w:rPr>
          <w:t xml:space="preserve">https://doi.org/10.1093/heapol/16.3.326</w:t>
        </w:r>
      </w:hyperlink>
      <w:r>
        <w:t xml:space="preserve">.</w:t>
      </w:r>
    </w:p>
    <w:bookmarkEnd w:id="143"/>
    <w:bookmarkStart w:id="145"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4">
        <w:r>
          <w:rPr>
            <w:rStyle w:val="Hyperlink"/>
          </w:rPr>
          <w:t xml:space="preserve">https://doi.org/10.6069/1D4Y-YQ37</w:t>
        </w:r>
      </w:hyperlink>
      <w:r>
        <w:t xml:space="preserve">.</w:t>
      </w:r>
    </w:p>
    <w:bookmarkEnd w:id="145"/>
    <w:bookmarkStart w:id="14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6">
        <w:r>
          <w:rPr>
            <w:rStyle w:val="Hyperlink"/>
          </w:rPr>
          <w:t xml:space="preserve">https://doi.org/10.1177/0272989x21995805</w:t>
        </w:r>
      </w:hyperlink>
      <w:r>
        <w:t xml:space="preserve">.</w:t>
      </w:r>
    </w:p>
    <w:bookmarkEnd w:id="147"/>
    <w:bookmarkStart w:id="149"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8">
        <w:r>
          <w:rPr>
            <w:rStyle w:val="Hyperlink"/>
          </w:rPr>
          <w:t xml:space="preserve">https://doi.org/10.1080/03081088108817379</w:t>
        </w:r>
      </w:hyperlink>
      <w:r>
        <w:t xml:space="preserve">.</w:t>
      </w:r>
    </w:p>
    <w:bookmarkEnd w:id="149"/>
    <w:bookmarkStart w:id="150"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50"/>
    <w:bookmarkStart w:id="151"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1"/>
    <w:bookmarkStart w:id="15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2">
        <w:r>
          <w:rPr>
            <w:rStyle w:val="Hyperlink"/>
          </w:rPr>
          <w:t xml:space="preserve">https://doi.org/10.1016/s0140-6736(20)30752-2</w:t>
        </w:r>
      </w:hyperlink>
      <w:r>
        <w:t xml:space="preserve">.</w:t>
      </w:r>
    </w:p>
    <w:bookmarkEnd w:id="153"/>
    <w:bookmarkStart w:id="15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4">
        <w:r>
          <w:rPr>
            <w:rStyle w:val="Hyperlink"/>
          </w:rPr>
          <w:t xml:space="preserve">https://doi.org/10.1016/s0140-6736(96)07493-4</w:t>
        </w:r>
      </w:hyperlink>
      <w:r>
        <w:t xml:space="preserve">.</w:t>
      </w:r>
    </w:p>
    <w:bookmarkEnd w:id="155"/>
    <w:bookmarkStart w:id="156"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6"/>
    <w:bookmarkStart w:id="158"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7">
        <w:r>
          <w:rPr>
            <w:rStyle w:val="Hyperlink"/>
          </w:rPr>
          <w:t xml:space="preserve">https://cdn.who.int/media/docs/default-source/gho-documents/global-health-estimates/ghe2019_daly-methods.pdf</w:t>
        </w:r>
      </w:hyperlink>
      <w:r>
        <w:t xml:space="preserve">.</w:t>
      </w:r>
    </w:p>
    <w:bookmarkEnd w:id="158"/>
    <w:bookmarkStart w:id="160"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9">
        <w:r>
          <w:rPr>
            <w:rStyle w:val="Hyperlink"/>
          </w:rPr>
          <w:t xml:space="preserve">https://doi.org/10.1016/j.jval.2016.04.015</w:t>
        </w:r>
      </w:hyperlink>
      <w:r>
        <w:t xml:space="preserve">.</w:t>
      </w:r>
    </w:p>
    <w:bookmarkEnd w:id="160"/>
    <w:bookmarkEnd w:id="161"/>
    <w:bookmarkEnd w:id="162"/>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8">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9">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7">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2">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4">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9">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3">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4">
        <w:r>
          <w:rPr>
            <w:rStyle w:val="Hyperlink"/>
          </w:rPr>
          <w:t xml:space="preserve">example here</w:t>
        </w:r>
      </w:hyperlink>
    </w:p>
  </w:footnote>
  <w:footnote w:id="65">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0">
    <w:p>
      <w:pPr>
        <w:pStyle w:val="FootnoteText"/>
      </w:pPr>
      <w:r>
        <w:rPr>
          <w:rStyle w:val="FootnoteReference"/>
        </w:rPr>
        <w:footnoteRef/>
      </w:r>
      <w:r>
        <w:t xml:space="preserve"> </w:t>
      </w:r>
      <w:r>
        <w:t xml:space="preserve">The method also easily accommodates other common outcomes such as QALYs and costs.</w:t>
      </w:r>
    </w:p>
  </w:footnote>
  <w:footnote w:id="71">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 further information. A function to construct a vec-permutation matrix is provided within our replication code.</w:t>
      </w:r>
    </w:p>
  </w:footnote>
  <w:footnote w:id="8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9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9">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33" Target="media/rId33.svg" /><Relationship Type="http://schemas.openxmlformats.org/officeDocument/2006/relationships/image" Id="rId40" Target="media/rId40.svg" /><Relationship Type="http://schemas.openxmlformats.org/officeDocument/2006/relationships/image" Id="rId55" Target="media/rId55.svg" /><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
  <cp:keywords>Cost-Effectiveness Analysis, Microsimulation, Discrete Event Simulation, Markov Cohort Models</cp:keywords>
  <dcterms:created xsi:type="dcterms:W3CDTF">2024-03-19T15:00:51Z</dcterms:created>
  <dcterms:modified xsi:type="dcterms:W3CDTF">2024-03-19T15:00:51Z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disability (YLDs) and years of life lost to premature mortality (YLLs). Recognizing the wide spectrum of experience and programming comfort level among practitioners, we offer three approaches (beginner, intermediate and advanced).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Finally, our advanced approach adapts methods from mathematical demography. This approach allows for direct calculation of expected values without the need for a Markov trace, and facilitates additional insights because it can also solve for higher-order moments in the health outcome distribution (e.g., variance, skewness). Drawing on an existing disease progression discrete time Markov cohort model, we demonstrate exact or near- numeric equivalence of DALY estimates and cost-effectiveness analysis results across our three methods, and show that other commonly used “shortcuts” for estimating DALYs will not, in general, yield accurate estimates of DALY levels nor ICERs in a modeled population.</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citation">
    <vt:lpwstr/>
  </property>
  <property fmtid="{D5CDD505-2E9C-101B-9397-08002B2CF9AE}" pid="6" name="clear-hidden-classes">
    <vt:lpwstr>none</vt:lpwstr>
  </property>
  <property fmtid="{D5CDD505-2E9C-101B-9397-08002B2CF9AE}" pid="7" name="date">
    <vt:lpwstr>2024-03-19</vt:lpwstr>
  </property>
  <property fmtid="{D5CDD505-2E9C-101B-9397-08002B2CF9AE}" pid="8" name="editor_options">
    <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points">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plain-language-summary">
    <vt:lpwstr>Modeling Disability-Adjusted Life Years for Policy and Decision Analysis</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