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2.png" ContentType="image/png"/>
  <Override PartName="/word/media/rId66.png" ContentType="image/png"/>
  <Override PartName="/word/media/rId49.png" ContentType="image/png"/>
  <Override PartName="/word/media/rId60.png" ContentType="image/png"/>
  <Override PartName="/word/media/rId44.png" ContentType="image/png"/>
  <Override PartName="/word/media/rId86.png" ContentType="image/png"/>
  <Override PartName="/word/media/rId101.png" ContentType="image/png"/>
  <Override PartName="/word/media/rId33.svg" ContentType="image/svg+xml"/>
  <Override PartName="/word/media/rId40.svg" ContentType="image/svg+xml"/>
  <Override PartName="/word/media/rId55.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Ashley</w:t>
      </w:r>
      <w:r>
        <w:t xml:space="preserve"> </w:t>
      </w:r>
      <w:r>
        <w:t xml:space="preserve">Leech</w:t>
      </w:r>
    </w:p>
    <w:p>
      <w:pPr>
        <w:pStyle w:val="Author"/>
      </w:pPr>
      <w:r>
        <w:t xml:space="preserve">Jinyi</w:t>
      </w:r>
      <w:r>
        <w:t xml:space="preserve"> </w:t>
      </w:r>
      <w:r>
        <w:t xml:space="preserve">Zhu</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Date"/>
      </w:pPr>
      <w:r>
        <w:t xml:space="preserve">2024-03-21</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direct</w:t>
      </w:r>
      <w:r>
        <w:t xml:space="preserve"> </w:t>
      </w:r>
      <w:r>
        <w:t xml:space="preserve">incorporation</w:t>
      </w:r>
      <w:r>
        <w:t xml:space="preserve"> </w:t>
      </w:r>
      <w:r>
        <w:t xml:space="preserve">of</w:t>
      </w:r>
      <w:r>
        <w:t xml:space="preserve"> </w:t>
      </w:r>
      <w:r>
        <w:t xml:space="preserve">multidimensional</w:t>
      </w:r>
      <w:r>
        <w:t xml:space="preserve"> </w:t>
      </w:r>
      <w:r>
        <w:t xml:space="preserve">health</w:t>
      </w:r>
      <w:r>
        <w:t xml:space="preserve"> </w:t>
      </w:r>
      <w:r>
        <w:t xml:space="preserve">outcomes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with</w:t>
      </w:r>
      <w:r>
        <w:t xml:space="preserve"> </w:t>
      </w:r>
      <w:r>
        <w:t xml:space="preserve">a</w:t>
      </w:r>
      <w:r>
        <w:t xml:space="preserve"> </w:t>
      </w:r>
      <w:r>
        <w:t xml:space="preserve">particular</w:t>
      </w:r>
      <w:r>
        <w:t xml:space="preserve"> </w:t>
      </w:r>
      <w:r>
        <w:t xml:space="preserve">focus</w:t>
      </w:r>
      <w:r>
        <w:t xml:space="preserve"> </w:t>
      </w:r>
      <w:r>
        <w:t xml:space="preserve">on</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and</w:t>
      </w:r>
      <w:r>
        <w:t xml:space="preserve"> </w:t>
      </w:r>
      <w:r>
        <w:t xml:space="preserve">its</w:t>
      </w:r>
      <w:r>
        <w:t xml:space="preserve"> </w:t>
      </w:r>
      <w:r>
        <w:t xml:space="preserve">constituent</w:t>
      </w:r>
      <w:r>
        <w:t xml:space="preserve"> </w:t>
      </w:r>
      <w:r>
        <w:t xml:space="preserve">parts—years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(YLDs)</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premature</w:t>
      </w:r>
      <w:r>
        <w:t xml:space="preserve"> </w:t>
      </w:r>
      <w:r>
        <w:t xml:space="preserve">mortality</w:t>
      </w:r>
      <w:r>
        <w:t xml:space="preserve"> </w:t>
      </w:r>
      <w:r>
        <w:t xml:space="preserve">(YLLs).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offer</w:t>
      </w:r>
      <w:r>
        <w:t xml:space="preserve"> </w:t>
      </w:r>
      <w:r>
        <w:t xml:space="preserve">three</w:t>
      </w:r>
      <w:r>
        <w:t xml:space="preserve"> </w:t>
      </w:r>
      <w:r>
        <w:t xml:space="preserve">approaches</w:t>
      </w:r>
      <w:r>
        <w:t xml:space="preserve"> </w:t>
      </w:r>
      <w:r>
        <w:t xml:space="preserve">(beginner,</w:t>
      </w:r>
      <w:r>
        <w:t xml:space="preserve"> </w:t>
      </w:r>
      <w:r>
        <w:t xml:space="preserve">intermediate</w:t>
      </w:r>
      <w:r>
        <w:t xml:space="preserve"> </w:t>
      </w:r>
      <w:r>
        <w:t xml:space="preserve">and</w:t>
      </w:r>
      <w:r>
        <w:t xml:space="preserve"> </w:t>
      </w:r>
      <w:r>
        <w:t xml:space="preserve">advanced).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for</w:t>
      </w:r>
      <w:r>
        <w:t xml:space="preserve"> </w:t>
      </w:r>
      <w:r>
        <w:t xml:space="preserve">computationally-intensive</w:t>
      </w:r>
      <w:r>
        <w:t xml:space="preserve"> </w:t>
      </w:r>
      <w:r>
        <w:t xml:space="preserve">exercises</w:t>
      </w:r>
      <w:r>
        <w:t xml:space="preserve"> </w:t>
      </w:r>
      <w:r>
        <w:t xml:space="preserve">(e.g.,</w:t>
      </w:r>
      <w:r>
        <w:t xml:space="preserve"> </w:t>
      </w:r>
      <w:r>
        <w:t xml:space="preserve">microsimulation,</w:t>
      </w:r>
      <w:r>
        <w:t xml:space="preserve"> </w:t>
      </w:r>
      <w:r>
        <w:t xml:space="preserve">probabilistic</w:t>
      </w:r>
      <w:r>
        <w:t xml:space="preserve"> </w:t>
      </w:r>
      <w:r>
        <w:t xml:space="preserve">sensitivity</w:t>
      </w:r>
      <w:r>
        <w:t xml:space="preserve"> </w:t>
      </w:r>
      <w:r>
        <w:t xml:space="preserve">analyses)</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transition</w:t>
      </w:r>
      <w:r>
        <w:t xml:space="preserve"> </w:t>
      </w:r>
      <w:r>
        <w:t xml:space="preserve">probability</w:t>
      </w:r>
      <w:r>
        <w:t xml:space="preserve"> </w:t>
      </w:r>
      <w:r>
        <w:t xml:space="preserve">matrices.</w:t>
      </w:r>
      <w:r>
        <w:t xml:space="preserve"> </w:t>
      </w:r>
      <w:r>
        <w:t xml:space="preserve">Finally,</w:t>
      </w:r>
      <w:r>
        <w:t xml:space="preserve"> </w:t>
      </w:r>
      <w:r>
        <w:t xml:space="preserve">our</w:t>
      </w:r>
      <w:r>
        <w:t xml:space="preserve"> </w:t>
      </w:r>
      <w:r>
        <w:t xml:space="preserve">advanced</w:t>
      </w:r>
      <w:r>
        <w:t xml:space="preserve"> </w:t>
      </w:r>
      <w:r>
        <w:t xml:space="preserve">approach</w:t>
      </w:r>
      <w:r>
        <w:t xml:space="preserve"> </w:t>
      </w:r>
      <w:r>
        <w:t xml:space="preserve">adapts</w:t>
      </w:r>
      <w:r>
        <w:t xml:space="preserve"> </w:t>
      </w:r>
      <w:r>
        <w:t xml:space="preserve">methods</w:t>
      </w:r>
      <w:r>
        <w:t xml:space="preserve"> </w:t>
      </w:r>
      <w:r>
        <w:t xml:space="preserve">from</w:t>
      </w:r>
      <w:r>
        <w:t xml:space="preserve"> </w:t>
      </w:r>
      <w:r>
        <w:t xml:space="preserve">mathematical</w:t>
      </w:r>
      <w:r>
        <w:t xml:space="preserve"> </w:t>
      </w:r>
      <w:r>
        <w:t xml:space="preserve">demography.</w:t>
      </w:r>
      <w:r>
        <w:t xml:space="preserve"> </w:t>
      </w:r>
      <w:r>
        <w:t xml:space="preserve">This</w:t>
      </w:r>
      <w:r>
        <w:t xml:space="preserve"> </w:t>
      </w:r>
      <w:r>
        <w:t xml:space="preserve">approach</w:t>
      </w:r>
      <w:r>
        <w:t xml:space="preserve"> </w:t>
      </w:r>
      <w:r>
        <w:t xml:space="preserve">allows</w:t>
      </w:r>
      <w:r>
        <w:t xml:space="preserve"> </w:t>
      </w:r>
      <w:r>
        <w:t xml:space="preserve">for</w:t>
      </w:r>
      <w:r>
        <w:t xml:space="preserve"> </w:t>
      </w:r>
      <w:r>
        <w:t xml:space="preserve">direct</w:t>
      </w:r>
      <w:r>
        <w:t xml:space="preserve"> </w:t>
      </w:r>
      <w:r>
        <w:t xml:space="preserve">calculation</w:t>
      </w:r>
      <w:r>
        <w:t xml:space="preserve"> </w:t>
      </w:r>
      <w:r>
        <w:t xml:space="preserve">of</w:t>
      </w:r>
      <w:r>
        <w:t xml:space="preserve"> </w:t>
      </w:r>
      <w:r>
        <w:t xml:space="preserve">expected</w:t>
      </w:r>
      <w:r>
        <w:t xml:space="preserve"> </w:t>
      </w:r>
      <w:r>
        <w:t xml:space="preserve">values</w:t>
      </w:r>
      <w:r>
        <w:t xml:space="preserve"> </w:t>
      </w:r>
      <w:r>
        <w:t xml:space="preserve">without</w:t>
      </w:r>
      <w:r>
        <w:t xml:space="preserve"> </w:t>
      </w:r>
      <w:r>
        <w:t xml:space="preserve">the</w:t>
      </w:r>
      <w:r>
        <w:t xml:space="preserve"> </w:t>
      </w:r>
      <w:r>
        <w:t xml:space="preserve">need</w:t>
      </w:r>
      <w:r>
        <w:t xml:space="preserve"> </w:t>
      </w:r>
      <w:r>
        <w:t xml:space="preserve">for</w:t>
      </w:r>
      <w:r>
        <w:t xml:space="preserve"> </w:t>
      </w:r>
      <w:r>
        <w:t xml:space="preserve">a</w:t>
      </w:r>
      <w:r>
        <w:t xml:space="preserve"> </w:t>
      </w:r>
      <w:r>
        <w:t xml:space="preserve">Markov</w:t>
      </w:r>
      <w:r>
        <w:t xml:space="preserve"> </w:t>
      </w:r>
      <w:r>
        <w:t xml:space="preserve">trace,</w:t>
      </w:r>
      <w:r>
        <w:t xml:space="preserve"> </w:t>
      </w:r>
      <w:r>
        <w:t xml:space="preserve">and</w:t>
      </w:r>
      <w:r>
        <w:t xml:space="preserve"> </w:t>
      </w:r>
      <w:r>
        <w:t xml:space="preserve">facilitates</w:t>
      </w:r>
      <w:r>
        <w:t xml:space="preserve"> </w:t>
      </w:r>
      <w:r>
        <w:t xml:space="preserve">additional</w:t>
      </w:r>
      <w:r>
        <w:t xml:space="preserve"> </w:t>
      </w:r>
      <w:r>
        <w:t xml:space="preserve">insights</w:t>
      </w:r>
      <w:r>
        <w:t xml:space="preserve"> </w:t>
      </w:r>
      <w:r>
        <w:t xml:space="preserve">because</w:t>
      </w:r>
      <w:r>
        <w:t xml:space="preserve"> </w:t>
      </w:r>
      <w:r>
        <w:t xml:space="preserve">it</w:t>
      </w:r>
      <w:r>
        <w:t xml:space="preserve"> </w:t>
      </w:r>
      <w:r>
        <w:t xml:space="preserve">can</w:t>
      </w:r>
      <w:r>
        <w:t xml:space="preserve"> </w:t>
      </w:r>
      <w:r>
        <w:t xml:space="preserve">also</w:t>
      </w:r>
      <w:r>
        <w:t xml:space="preserve"> </w:t>
      </w:r>
      <w:r>
        <w:t xml:space="preserve">solve</w:t>
      </w:r>
      <w:r>
        <w:t xml:space="preserve"> </w:t>
      </w:r>
      <w:r>
        <w:t xml:space="preserve">for</w:t>
      </w:r>
      <w:r>
        <w:t xml:space="preserve"> </w:t>
      </w:r>
      <w:r>
        <w:t xml:space="preserve">higher-order</w:t>
      </w:r>
      <w:r>
        <w:t xml:space="preserve"> </w:t>
      </w:r>
      <w:r>
        <w:t xml:space="preserve">moments</w:t>
      </w:r>
      <w:r>
        <w:t xml:space="preserve"> </w:t>
      </w:r>
      <w:r>
        <w:t xml:space="preserve">in</w:t>
      </w:r>
      <w:r>
        <w:t xml:space="preserve"> </w:t>
      </w:r>
      <w:r>
        <w:t xml:space="preserve">the</w:t>
      </w:r>
      <w:r>
        <w:t xml:space="preserve"> </w:t>
      </w:r>
      <w:r>
        <w:t xml:space="preserve">health</w:t>
      </w:r>
      <w:r>
        <w:t xml:space="preserve"> </w:t>
      </w:r>
      <w:r>
        <w:t xml:space="preserve">outcome</w:t>
      </w:r>
      <w:r>
        <w:t xml:space="preserve"> </w:t>
      </w:r>
      <w:r>
        <w:t xml:space="preserve">distribution</w:t>
      </w:r>
      <w:r>
        <w:t xml:space="preserve"> </w:t>
      </w:r>
      <w:r>
        <w:t xml:space="preserve">(e.g.,</w:t>
      </w:r>
      <w:r>
        <w:t xml:space="preserve"> </w:t>
      </w:r>
      <w:r>
        <w:t xml:space="preserve">variance,</w:t>
      </w:r>
      <w:r>
        <w:t xml:space="preserve"> </w:t>
      </w:r>
      <w:r>
        <w:t xml:space="preserve">skewness).</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exact</w:t>
      </w:r>
      <w:r>
        <w:t xml:space="preserve"> </w:t>
      </w:r>
      <w:r>
        <w:t xml:space="preserve">or</w:t>
      </w:r>
      <w:r>
        <w:t xml:space="preserve"> </w:t>
      </w:r>
      <w:r>
        <w:t xml:space="preserve">near-</w:t>
      </w:r>
      <w:r>
        <w:t xml:space="preserve"> </w:t>
      </w:r>
      <w:r>
        <w:t xml:space="preserve">numeric</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three</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2"/>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(HTAs) and policy decisionmaking in high-income countries (HICs).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w:t>
      </w:r>
      <w:r>
        <w:t xml:space="preserve"> </w:t>
      </w:r>
      <w:r>
        <w:rPr>
          <w:iCs/>
          <w:i/>
        </w:rPr>
        <w:t xml:space="preserve">how</w:t>
      </w:r>
      <w:r>
        <w:t xml:space="preserve"> </w:t>
      </w:r>
      <w:r>
        <w:t xml:space="preserve">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 As such, our study provides a comprehensive roadmap for incorporating DALY outcomes into common decision modeling frameworks.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 time Markov cohort model is time homogeneous—that is, transition probabilities do not vary as a function of age/time in model. However, our methods and code are developed to accommodate time-inhomogeneous models. Finally, recognizing the wide spectrum of experience and programming comfort level among practitioners, we offer three approaches for modeling DALYs (beginner, intermediate and advanced) and provide replication materials for implementing our approaches in R and Microsoft Excel.</w:t>
      </w:r>
    </w:p>
    <w:bookmarkEnd w:id="24"/>
    <w:bookmarkStart w:id="32" w:name="sec-background"/>
    <w:p>
      <w:pPr>
        <w:pStyle w:val="Heading2"/>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 TK.</w:t>
      </w:r>
    </w:p>
    <w:p>
      <w:pPr>
        <w:pStyle w:val="BodyText"/>
      </w:pPr>
      <w:r>
        <w:t xml:space="preserve">DALYs are the sum of two components: a morbidity component called years lost to disability (YLD), and a premature mortality component called years of life lost to disease (YLL)</w:t>
      </w:r>
      <w:r>
        <w:t xml:space="preserve"> </w:t>
      </w:r>
      <w:r>
        <w:t xml:space="preserve">(WHO 2013)</w:t>
      </w:r>
      <w:r>
        <w:t xml:space="preserve">. 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from expert panels, are standardized across geographies, and are routinely updated and published as part of the GBD</w:t>
      </w:r>
      <w:r>
        <w:t xml:space="preserve"> </w:t>
      </w:r>
      <w:r>
        <w:t xml:space="preserve">(WHO 2013)</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w:t>
      </w:r>
      <w:r>
        <w:t xml:space="preserve"> </w:t>
      </w:r>
      <m:oMath>
        <m:r>
          <m:t>a</m:t>
        </m:r>
      </m:oMath>
      <w:r>
        <w:t xml:space="preserve">,</w:t>
      </w:r>
    </w:p>
    <w:p>
      <w:pPr>
        <w:pStyle w:val="BodyText"/>
      </w:pPr>
      <w:bookmarkStart w:id="26"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6"/>
    </w:p>
    <w:p>
      <w:pPr>
        <w:pStyle w:val="FirstParagraph"/>
      </w:pPr>
      <w:r>
        <w:t xml:space="preserve">.</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2013; Global Burden of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(Global Burden of Disease Collaborative Network 2021)</w:t>
      </w:r>
      <w:r>
        <w:t xml:space="preserve">.</w:t>
      </w:r>
    </w:p>
    <w:p>
      <w:pPr>
        <w:pStyle w:val="BodyText"/>
      </w:pPr>
      <w:r>
        <w:t xml:space="preserve">Finally, DALYS are simply the sum of these two components:</w:t>
      </w:r>
    </w:p>
    <w:p>
      <w:pPr>
        <w:pStyle w:val="BodyText"/>
      </w:pPr>
      <w:bookmarkStart w:id="27"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7"/>
    </w:p>
    <w:bookmarkStart w:id="31" w:name="discounting"/>
    <w:p>
      <w:pPr>
        <w:pStyle w:val="Heading3"/>
      </w:pPr>
      <w:r>
        <w:t xml:space="preserve">2.1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2013)</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We therefore adopt the WHO-CHOICE recommendation and include discounting in our DALY modeling approach.</w:t>
      </w:r>
      <w:r>
        <w:rPr>
          <w:rStyle w:val="FootnoteReference"/>
        </w:rPr>
        <w:footnoteReference w:id="28"/>
      </w:r>
      <w:r>
        <w:t xml:space="preserve"> </w:t>
      </w:r>
      <w:r>
        <w:t xml:space="preserve">We do, however, maintain the continuous-time discounting used in the original GBD DALY equations—which differs slightly from the more common use of discrete time discounting in Markov cohort models.</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29"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29"/>
    </w:p>
    <w:p>
      <w:pPr>
        <w:pStyle w:val="FirstParagraph"/>
      </w:pPr>
      <w:r>
        <w:t xml:space="preserve">Similarly, YLLs are calculated as,</w:t>
      </w:r>
    </w:p>
    <w:p>
      <w:pPr>
        <w:pStyle w:val="BodyText"/>
      </w:pPr>
      <w:bookmarkStart w:id="30"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0"/>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off ill, that point in time very likely occurs at some point after the baseline period—and different illness durations and death times will, of course, occur across individuals in a modeled cohort. As such, we must discount YLL and YLD outcomes further, to time</w:t>
      </w:r>
      <w:r>
        <w:t xml:space="preserve"> </w:t>
      </w:r>
      <m:oMath>
        <m:r>
          <m:t>t</m:t>
        </m:r>
        <m:r>
          <m:rPr>
            <m:sty m:val="p"/>
          </m:rPr>
          <m:t>=</m:t>
        </m:r>
        <m:r>
          <m:t>0</m:t>
        </m:r>
      </m:oMath>
      <w:r>
        <w:t xml:space="preserve"> </w:t>
      </w:r>
      <w:r>
        <w:t xml:space="preserve">period. This additional discounting step will become apparent in</w:t>
      </w:r>
      <w:r>
        <w:t xml:space="preserve"> </w:t>
      </w:r>
      <w:hyperlink w:anchor="sec-outcomes">
        <w:r>
          <w:rPr>
            <w:rStyle w:val="Hyperlink"/>
          </w:rPr>
          <w:t xml:space="preserve">Section 5</w:t>
        </w:r>
      </w:hyperlink>
      <w:r>
        <w:t xml:space="preserve"> </w:t>
      </w:r>
      <w:r>
        <w:t xml:space="preserve">below.</w:t>
      </w:r>
    </w:p>
    <w:bookmarkEnd w:id="31"/>
    <w:bookmarkEnd w:id="32"/>
    <w:bookmarkStart w:id="38" w:name="sec-overview"/>
    <w:p>
      <w:pPr>
        <w:pStyle w:val="Heading2"/>
      </w:pPr>
      <w:r>
        <w:t xml:space="preserve">3 Model Overview</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jointly implements strategies A and B.</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p>
      <w:pPr>
        <w:pStyle w:val="BodyText"/>
      </w:pPr>
      <w:r>
        <w:t xml:space="preserve">An additional assumption is worth highlighting. In our model, disability weights are defined as one minus the utility weight. This is not generally the case, as DALY disability weights are derived from expert valuations and are standardized across countries and regions</w:t>
      </w:r>
      <w:r>
        <w:t xml:space="preserve"> </w:t>
      </w:r>
      <w:r>
        <w:t xml:space="preserve">(WHO 2013; Sassi 2006)</w:t>
      </w:r>
      <w:r>
        <w:t xml:space="preserve">. Utility weights, by contrast, are often derived from general population and/or patient samples and therefore differ across geographies</w:t>
      </w:r>
      <w:r>
        <w:t xml:space="preserve"> </w:t>
      </w:r>
      <w:r>
        <w:t xml:space="preserve">(Sassi 2006)</w:t>
      </w:r>
      <w:r>
        <w:t xml:space="preserve">. We have elected to parameterize our model in this way to hold this methodological difference fixed—that is, we aim to show how differences in methodological choices shape estimates of DALYs while holding fixed</w:t>
      </w:r>
      <w:r>
        <w:t xml:space="preserve"> </w:t>
      </w:r>
      <w:r>
        <w:rPr>
          <w:iCs/>
          <w:i/>
        </w:rPr>
        <w:t xml:space="preserve">additional</w:t>
      </w:r>
      <w:r>
        <w:t xml:space="preserve"> </w:t>
      </w:r>
      <w:r>
        <w:t xml:space="preserve">differences that might occur due to differences in the derivation of disability and utility weights.</w:t>
      </w:r>
    </w:p>
    <w:tbl>
      <w:tblPr>
        <w:tblStyle w:val="Table"/>
        <w:tblW w:type="pct" w:w="5000"/>
        <w:tblLook w:firstRow="0" w:lastRow="0" w:firstColumn="0" w:lastColumn="0" w:noHBand="0" w:noVBand="0" w:val="0000"/>
        <w:jc w:val="start"/>
        <w:tblLayout w:type="fixed"/>
      </w:tblPr>
      <w:tblGrid>
        <w:gridCol w:w="7920"/>
      </w:tblGrid>
      <w:tr>
        <w:tc>
          <w:tcPr/>
          <w:bookmarkStart w:id="36" w:name="fig-model1"/>
          <w:p>
            <w:pPr>
              <w:pStyle w:val="Compact"/>
              <w:jc w:val="center"/>
            </w:pPr>
            <w:r>
              <w:drawing>
                <wp:inline>
                  <wp:extent cx="5943600" cy="3538053"/>
                  <wp:effectExtent b="0" l="0" r="0" t="0"/>
                  <wp:docPr descr="" title="" id="34" name="Picture"/>
                  <a:graphic>
                    <a:graphicData uri="http://schemas.openxmlformats.org/drawingml/2006/picture">
                      <pic:pic>
                        <pic:nvPicPr>
                          <pic:cNvPr descr="images/state-transition-diagram-1.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7"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healthy [H]</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sick [S2]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death [D]</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Utility weight: treatment A [S1]</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body32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7"/>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38"/>
    <w:bookmarkStart w:id="81" w:name="transition-matrices"/>
    <w:p>
      <w:pPr>
        <w:pStyle w:val="Heading2"/>
      </w:pPr>
      <w:r>
        <w:t xml:space="preserve">4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several approaches are available. We categorize each based on the level of experience and skill required (beginner, intermediate, advanced):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39"/>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numPr>
          <w:ilvl w:val="0"/>
          <w:numId w:val="1002"/>
        </w:numPr>
      </w:pPr>
      <w:r>
        <w:rPr>
          <w:bCs/>
          <w:b/>
        </w:rPr>
        <w:t xml:space="preserve">Approach 3 (Advanced): Markov Chain with Rewards</w:t>
      </w:r>
      <w:r>
        <w:t xml:space="preserve"> </w:t>
      </w:r>
      <w:r>
        <w:t xml:space="preserve">Define a block matrix Markov chain with rewards for occupancy (YLDs) and disease-related death transitions (YLLs) by adapting the methods in</w:t>
      </w:r>
      <w:r>
        <w:t xml:space="preserve"> </w:t>
      </w:r>
      <w:r>
        <w:t xml:space="preserve">Caswell and van Daalen (2021)</w:t>
      </w:r>
      <w:r>
        <w:t xml:space="preserve">. This approach is the most efficient since it solves directly for expected outcomes; it also facilitates estimation of higher order moments such as variance and skewness of DALYs in a population.</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Approach (3) draws on slightly different assumptions on partial health state occupancy in a cycle, but yields results quite similar to (1) and (2). We show in</w:t>
      </w:r>
      <w:r>
        <w:t xml:space="preserve"> </w:t>
      </w:r>
      <w:hyperlink w:anchor="sec-results">
        <w:r>
          <w:rPr>
            <w:rStyle w:val="Hyperlink"/>
          </w:rPr>
          <w:t xml:space="preserve">Section 7</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3" w:name="Xc0163f341a00390901ec6a96c025e7116abf79c"/>
    <w:p>
      <w:pPr>
        <w:pStyle w:val="Heading3"/>
      </w:pPr>
      <w:r>
        <w:t xml:space="preserve">4.1 Approach 1 (Beginner): Cause-Specific Death State</w:t>
      </w:r>
    </w:p>
    <w:p>
      <w:pPr>
        <w:pStyle w:val="FirstParagraph"/>
      </w:pPr>
      <w:r>
        <w:t xml:space="preserve">Under this approach, we separate out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3" w:name="fig-modelDS"/>
          <w:p>
            <w:pPr>
              <w:pStyle w:val="Compact"/>
              <w:jc w:val="center"/>
            </w:pPr>
            <w:r>
              <w:drawing>
                <wp:inline>
                  <wp:extent cx="5943600" cy="3485142"/>
                  <wp:effectExtent b="0" l="0" r="0" t="0"/>
                  <wp:docPr descr="" title="" id="41" name="Picture"/>
                  <a:graphic>
                    <a:graphicData uri="http://schemas.openxmlformats.org/drawingml/2006/picture">
                      <pic:pic>
                        <pic:nvPicPr>
                          <pic:cNvPr descr="images/state-transition-diagram-2.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3"/>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5" name="Picture"/>
            <a:graphic>
              <a:graphicData uri="http://schemas.openxmlformats.org/drawingml/2006/picture">
                <pic:pic>
                  <pic:nvPicPr>
                    <pic:cNvPr descr="images/Q_model2.png" id="46" name="Picture"/>
                    <pic:cNvPicPr>
                      <a:picLocks noChangeArrowheads="1" noChangeAspect="1"/>
                    </pic:cNvPicPr>
                  </pic:nvPicPr>
                  <pic:blipFill>
                    <a:blip r:embed="rId44"/>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7"/>
      </w:r>
    </w:p>
    <w:p>
      <w:pPr>
        <w:pStyle w:val="BodyText"/>
      </w:pPr>
      <w:bookmarkStart w:id="48"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48"/>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0" name="Picture"/>
            <a:graphic>
              <a:graphicData uri="http://schemas.openxmlformats.org/drawingml/2006/picture">
                <pic:pic>
                  <pic:nvPicPr>
                    <pic:cNvPr descr="images/P_model2.png" id="51" name="Picture"/>
                    <pic:cNvPicPr>
                      <a:picLocks noChangeArrowheads="1" noChangeAspect="1"/>
                    </pic:cNvPicPr>
                  </pic:nvPicPr>
                  <pic:blipFill>
                    <a:blip r:embed="rId49"/>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probability of compound (</w:t>
      </w:r>
      <w:r>
        <w:t xml:space="preserve">“</w:t>
      </w:r>
      <w:r>
        <w:t xml:space="preserve">jumpover</w:t>
      </w:r>
      <w:r>
        <w:t xml:space="preserve">”</w:t>
      </w:r>
      <w:r>
        <w:t xml:space="preserve">) transitions within a single cycle.</w:t>
      </w:r>
      <w:r>
        <w:rPr>
          <w:rStyle w:val="FootnoteReference"/>
        </w:rPr>
        <w:footnoteReference w:id="52"/>
      </w:r>
    </w:p>
    <w:bookmarkEnd w:id="53"/>
    <w:bookmarkStart w:id="69" w:name="X542e39889fb3e2daa3806f74369889340ed7148"/>
    <w:p>
      <w:pPr>
        <w:pStyle w:val="Heading3"/>
      </w:pPr>
      <w:r>
        <w:t xml:space="preserve">4.2 Approach 2 (Intermediate):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4"/>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58" w:name="fig-transition"/>
          <w:p>
            <w:pPr>
              <w:pStyle w:val="Compact"/>
              <w:jc w:val="center"/>
            </w:pPr>
            <w:r>
              <w:drawing>
                <wp:inline>
                  <wp:extent cx="5943600" cy="3538053"/>
                  <wp:effectExtent b="0" l="0" r="0" t="0"/>
                  <wp:docPr descr="" title="" id="56" name="Picture"/>
                  <a:graphic>
                    <a:graphicData uri="http://schemas.openxmlformats.org/drawingml/2006/picture">
                      <pic:pic>
                        <pic:nvPicPr>
                          <pic:cNvPr descr="images/state-transition-diagram-3.svg" id="5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58"/>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59"/>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1" name="Picture"/>
            <a:graphic>
              <a:graphicData uri="http://schemas.openxmlformats.org/drawingml/2006/picture">
                <pic:pic>
                  <pic:nvPicPr>
                    <pic:cNvPr descr="images/Q_model1.png" id="62" name="Picture"/>
                    <pic:cNvPicPr>
                      <a:picLocks noChangeArrowheads="1" noChangeAspect="1"/>
                    </pic:cNvPicPr>
                  </pic:nvPicPr>
                  <pic:blipFill>
                    <a:blip r:embed="rId60"/>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trDeadDisease</m:t>
        </m:r>
      </m:oMath>
      <w:r>
        <w:t xml:space="preserve"> </w:t>
      </w:r>
      <w:r>
        <w:t xml:space="preserve">will track all relevant transitions to death due to the disease. Because we are operating on the rate scale, we can net out non-disease 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3"/>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model.</w:t>
      </w:r>
      <w:r>
        <w:rPr>
          <w:rStyle w:val="FootnoteReference"/>
        </w:rPr>
        <w:footnoteReference w:id="65"/>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7" name="Picture"/>
            <a:graphic>
              <a:graphicData uri="http://schemas.openxmlformats.org/drawingml/2006/picture">
                <pic:pic>
                  <pic:nvPicPr>
                    <pic:cNvPr descr="images/P_model1.png" id="68" name="Picture"/>
                    <pic:cNvPicPr>
                      <a:picLocks noChangeArrowheads="1" noChangeAspect="1"/>
                    </pic:cNvPicPr>
                  </pic:nvPicPr>
                  <pic:blipFill>
                    <a:blip r:embed="rId66"/>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9"/>
    <w:bookmarkStart w:id="80" w:name="X42de1fe197194ee36295ff2a138636b0141de6a"/>
    <w:p>
      <w:pPr>
        <w:pStyle w:val="Heading3"/>
      </w:pPr>
      <w:r>
        <w:t xml:space="preserve">4.3 Approach 3 (Advanced): Markov Chain With Rewards</w:t>
      </w:r>
    </w:p>
    <w:p>
      <w:pPr>
        <w:pStyle w:val="FirstParagraph"/>
      </w:pPr>
      <w:r>
        <w:t xml:space="preserve">Our final approach adapts methods from mathematical demography to estimate YLD, YLL and DALY outcomes</w:t>
      </w:r>
      <w:r>
        <w:t xml:space="preserve"> </w:t>
      </w:r>
      <w:r>
        <w:t xml:space="preserve">(Caswell and van Daalen 2021)</w:t>
      </w:r>
      <w:r>
        <w:t xml:space="preserve">.</w:t>
      </w:r>
      <w:r>
        <w:rPr>
          <w:rStyle w:val="FootnoteReference"/>
        </w:rPr>
        <w:footnoteReference w:id="70"/>
      </w:r>
      <w:r>
        <w:t xml:space="preserve"> </w:t>
      </w:r>
      <w:r>
        <w:t xml:space="preserve">This approach requires a separate disease-related absorbing state as shown in</w:t>
      </w:r>
      <w:r>
        <w:t xml:space="preserve"> </w:t>
      </w:r>
      <w:hyperlink w:anchor="fig-modelDS">
        <w:r>
          <w:rPr>
            <w:rStyle w:val="Hyperlink"/>
          </w:rPr>
          <w:t xml:space="preserve">Figure 2</w:t>
        </w:r>
      </w:hyperlink>
      <w:r>
        <w:t xml:space="preserve">. While our focus here is on expected outcomes, this method can also be used to estimate higher order moments (e.g., variance, skewness). It is also quite flexible and can estimate separate outcomes for any combination of health states and age classes (e.g., disease-free survival among those aged 40-45, etc.); see</w:t>
      </w:r>
      <w:r>
        <w:t xml:space="preserve"> </w:t>
      </w:r>
      <w:r>
        <w:t xml:space="preserve">Caswell and Zarulli (2018)</w:t>
      </w:r>
      <w:r>
        <w:t xml:space="preserve"> </w:t>
      </w:r>
      <w:r>
        <w:t xml:space="preserve">and</w:t>
      </w:r>
      <w:r>
        <w:t xml:space="preserve"> </w:t>
      </w:r>
      <w:r>
        <w:t xml:space="preserve">Caswell and van Daalen (2021)</w:t>
      </w:r>
      <w:r>
        <w:t xml:space="preserve"> </w:t>
      </w:r>
      <w:r>
        <w:t xml:space="preserve">for details.</w:t>
      </w:r>
    </w:p>
    <w:p>
      <w:pPr>
        <w:pStyle w:val="BodyText"/>
      </w:pPr>
      <w:r>
        <w:t xml:space="preserve">To implement Approach 3 we define some additional parameters:</w:t>
      </w:r>
    </w:p>
    <w:p>
      <w:pPr>
        <w:pStyle w:val="BodyText"/>
      </w:pPr>
      <m:oMathPara>
        <m:oMathParaPr>
          <m:jc m:val="center"/>
        </m:oMathParaPr>
        <m:oMath>
          <m:m>
            <m:mPr>
              <m:baseJc m:val="center"/>
              <m:plcHide m:val="on"/>
              <m:mcs>
                <m:mc>
                  <m:mcPr>
                    <m:mcJc m:val="right"/>
                    <m:count m:val="1"/>
                  </m:mcPr>
                </m:mc>
                <m:mc>
                  <m:mcPr>
                    <m:mcJc m:val="left"/>
                    <m:count m:val="1"/>
                  </m:mcPr>
                </m:mc>
              </m:mcs>
            </m:mPr>
            <m:mr>
              <m:e>
                <m:r>
                  <m:t>τ</m:t>
                </m:r>
              </m:e>
              <m:e>
                <m:r>
                  <m:rPr>
                    <m:sty m:val="p"/>
                  </m:rPr>
                  <m:t>=</m:t>
                </m:r>
                <m:r>
                  <m:rPr>
                    <m:nor/>
                    <m:sty m:val="p"/>
                  </m:rPr>
                  <m:t>Number of transient (non-absorbing) states</m:t>
                </m:r>
              </m:e>
            </m:mr>
            <m:mr>
              <m:e>
                <m:r>
                  <m:t>α</m:t>
                </m:r>
              </m:e>
              <m:e>
                <m:r>
                  <m:rPr>
                    <m:sty m:val="p"/>
                  </m:rPr>
                  <m:t>=</m:t>
                </m:r>
                <m:r>
                  <m:rPr>
                    <m:nor/>
                    <m:sty m:val="p"/>
                  </m:rPr>
                  <m:t>Number of absorbing states</m:t>
                </m:r>
              </m:e>
            </m:mr>
            <m:mr>
              <m:e>
                <m:r>
                  <m:t>ω</m:t>
                </m:r>
              </m:e>
              <m:e>
                <m:r>
                  <m:rPr>
                    <m:sty m:val="p"/>
                  </m:rPr>
                  <m:t>=</m:t>
                </m:r>
                <m:r>
                  <m:rPr>
                    <m:nor/>
                    <m:sty m:val="p"/>
                  </m:rPr>
                  <m:t>Number of cycles (age classes)</m:t>
                </m:r>
              </m:e>
            </m:mr>
            <m:mr>
              <m:e>
                <m:r>
                  <m:t>s</m:t>
                </m:r>
              </m:e>
              <m:e>
                <m:r>
                  <m:rPr>
                    <m:sty m:val="p"/>
                  </m:rPr>
                  <m:t>=</m:t>
                </m:r>
                <m:r>
                  <m:rPr>
                    <m:nor/>
                    <m:sty m:val="p"/>
                  </m:rPr>
                  <m:t>Total number of states; </m:t>
                </m:r>
                <m:r>
                  <m:t>s</m:t>
                </m:r>
                <m:r>
                  <m:rPr>
                    <m:sty m:val="p"/>
                  </m:rPr>
                  <m:t>=</m:t>
                </m:r>
                <m:r>
                  <m:t>τ</m:t>
                </m:r>
                <m:r>
                  <m:t>ω</m:t>
                </m:r>
                <m:r>
                  <m:rPr>
                    <m:sty m:val="p"/>
                  </m:rPr>
                  <m:t>+</m:t>
                </m:r>
                <m:r>
                  <m:t>α</m:t>
                </m:r>
              </m:e>
            </m:mr>
            <m:mr>
              <m:e>
                <m:r>
                  <m:rPr>
                    <m:sty m:val="b"/>
                  </m:rPr>
                  <m:t>K</m:t>
                </m:r>
              </m:e>
              <m:e>
                <m:r>
                  <m:rPr>
                    <m:sty m:val="p"/>
                  </m:rPr>
                  <m:t>=</m:t>
                </m:r>
                <m:r>
                  <m:rPr>
                    <m:nor/>
                    <m:sty m:val="p"/>
                  </m:rPr>
                  <m:t>vec-permutation matrix; parameters </m:t>
                </m:r>
                <m:r>
                  <m:t>τ</m:t>
                </m:r>
                <m:r>
                  <m:rPr>
                    <m:sty m:val="p"/>
                  </m:rPr>
                  <m:t>,</m:t>
                </m:r>
                <m:r>
                  <m:t>ω</m:t>
                </m:r>
              </m:e>
            </m:mr>
            <m:mr>
              <m:e>
                <m:sSub>
                  <m:e>
                    <m:r>
                      <m:rPr>
                        <m:sty m:val="b"/>
                      </m:rPr>
                      <m:t>U</m:t>
                    </m:r>
                  </m:e>
                  <m:sub>
                    <m:r>
                      <m:t>t</m:t>
                    </m:r>
                  </m:sub>
                </m:sSub>
              </m:e>
              <m:e>
                <m:r>
                  <m:rPr>
                    <m:sty m:val="p"/>
                  </m:rPr>
                  <m:t>=</m:t>
                </m:r>
                <m:r>
                  <m:rPr>
                    <m:nor/>
                    <m:sty m:val="p"/>
                  </m:rPr>
                  <m:t>Transition matrix at time </m:t>
                </m:r>
                <m:r>
                  <m:t>t</m:t>
                </m:r>
                <m:r>
                  <m:rPr>
                    <m:sty m:val="p"/>
                  </m:rPr>
                  <m:t>,</m:t>
                </m:r>
                <m:r>
                  <m:rPr>
                    <m:nor/>
                    <m:sty m:val="p"/>
                  </m:rPr>
                  <m:t>for </m:t>
                </m:r>
                <m:r>
                  <m:t>t</m:t>
                </m:r>
                <m:r>
                  <m:rPr>
                    <m:sty m:val="p"/>
                  </m:rPr>
                  <m:t>=</m:t>
                </m:r>
                <m:r>
                  <m:t>1</m:t>
                </m:r>
                <m:r>
                  <m:rPr>
                    <m:sty m:val="p"/>
                  </m:rPr>
                  <m:t>,</m:t>
                </m:r>
                <m:r>
                  <m:rPr>
                    <m:sty m:val="p"/>
                  </m:rPr>
                  <m:t>…</m:t>
                </m:r>
                <m:r>
                  <m:rPr>
                    <m:sty m:val="p"/>
                  </m:rPr>
                  <m:t>,</m:t>
                </m:r>
                <m:r>
                  <m:t>ω</m:t>
                </m:r>
              </m:e>
            </m:mr>
            <m:mr>
              <m:e>
                <m:sSub>
                  <m:e>
                    <m:r>
                      <m:rPr>
                        <m:sty m:val="b"/>
                      </m:rPr>
                      <m:t>M</m:t>
                    </m:r>
                  </m:e>
                  <m:sub>
                    <m:r>
                      <m:t>t</m:t>
                    </m:r>
                  </m:sub>
                </m:sSub>
              </m:e>
              <m:e>
                <m:r>
                  <m:rPr>
                    <m:sty m:val="p"/>
                  </m:rPr>
                  <m:t>=</m:t>
                </m:r>
                <m:r>
                  <m:rPr>
                    <m:nor/>
                    <m:sty m:val="p"/>
                  </m:rPr>
                  <m:t>Mortality matrix at time </m:t>
                </m:r>
                <m:r>
                  <m:t>t</m:t>
                </m:r>
                <m:r>
                  <m:rPr>
                    <m:sty m:val="p"/>
                  </m:rPr>
                  <m:t>,</m:t>
                </m:r>
                <m:r>
                  <m:rPr>
                    <m:nor/>
                    <m:sty m:val="p"/>
                  </m:rPr>
                  <m:t>for </m:t>
                </m:r>
                <m:r>
                  <m:t>t</m:t>
                </m:r>
                <m:r>
                  <m:rPr>
                    <m:sty m:val="p"/>
                  </m:rPr>
                  <m:t>=</m:t>
                </m:r>
                <m:r>
                  <m:t>1</m:t>
                </m:r>
                <m:r>
                  <m:rPr>
                    <m:sty m:val="p"/>
                  </m:rPr>
                  <m:t>,</m:t>
                </m:r>
                <m:r>
                  <m:rPr>
                    <m:sty m:val="p"/>
                  </m:rPr>
                  <m:t>…</m:t>
                </m:r>
                <m:r>
                  <m:t>ω</m:t>
                </m:r>
              </m:e>
            </m:mr>
            <m:mr>
              <m:e>
                <m:sSub>
                  <m:e>
                    <m:r>
                      <m:rPr>
                        <m:sty m:val="b"/>
                      </m:rPr>
                      <m:t>D</m:t>
                    </m:r>
                  </m:e>
                  <m:sub>
                    <m:r>
                      <m:t>j</m:t>
                    </m:r>
                  </m:sub>
                </m:sSub>
              </m:e>
              <m:e>
                <m:r>
                  <m:rPr>
                    <m:sty m:val="p"/>
                  </m:rPr>
                  <m:t>=</m:t>
                </m:r>
                <m:r>
                  <m:rPr>
                    <m:nor/>
                    <m:sty m:val="p"/>
                  </m:rPr>
                  <m:t>Age advancement matrix for stage </m:t>
                </m:r>
                <m:r>
                  <m:t>j</m:t>
                </m:r>
                <m:r>
                  <m:rPr>
                    <m:sty m:val="p"/>
                  </m:rPr>
                  <m:t>,</m:t>
                </m:r>
                <m:r>
                  <m:rPr>
                    <m:nor/>
                    <m:sty m:val="p"/>
                  </m:rPr>
                  <m:t>for </m:t>
                </m:r>
                <m:r>
                  <m:t>j</m:t>
                </m:r>
                <m:r>
                  <m:rPr>
                    <m:sty m:val="p"/>
                  </m:rPr>
                  <m:t>=</m:t>
                </m:r>
                <m:r>
                  <m:t>1</m:t>
                </m:r>
                <m:r>
                  <m:rPr>
                    <m:sty m:val="p"/>
                  </m:rPr>
                  <m:t>,</m:t>
                </m:r>
                <m:r>
                  <m:rPr>
                    <m:sty m:val="p"/>
                  </m:rPr>
                  <m:t>…</m:t>
                </m:r>
                <m:r>
                  <m:rPr>
                    <m:sty m:val="p"/>
                  </m:rPr>
                  <m:t>,</m:t>
                </m:r>
                <m:r>
                  <m:t>τ</m:t>
                </m:r>
              </m:e>
            </m:mr>
          </m:m>
        </m:oMath>
      </m:oMathPara>
    </w:p>
    <w:p>
      <w:pPr>
        <w:pStyle w:val="FirstParagraph"/>
      </w:pPr>
      <w:r>
        <w:t xml:space="preserve">In the above notation,</w:t>
      </w:r>
      <w:r>
        <w:t xml:space="preserve"> </w:t>
      </w:r>
      <m:oMath>
        <m:r>
          <m:rPr>
            <m:sty m:val="b"/>
          </m:rPr>
          <m:t>K</m:t>
        </m:r>
      </m:oMath>
      <w:r>
        <w:t xml:space="preserve"> </w:t>
      </w:r>
      <w:r>
        <w:t xml:space="preserve">is a permutation matrix known as the vec-permutation matrix.</w:t>
      </w:r>
      <w:r>
        <w:rPr>
          <w:rStyle w:val="FootnoteReference"/>
        </w:rPr>
        <w:footnoteReference w:id="71"/>
      </w:r>
      <w:r>
        <w:t xml:space="preserve"> </w:t>
      </w:r>
      <w:r>
        <w:t xml:space="preserve">The matrix</w:t>
      </w:r>
      <w:r>
        <w:t xml:space="preserve"> </w:t>
      </w:r>
      <m:oMath>
        <m:sSub>
          <m:e>
            <m:r>
              <m:rPr>
                <m:sty m:val="b"/>
              </m:rPr>
              <m:t>U</m:t>
            </m:r>
          </m:e>
          <m:sub>
            <m:r>
              <m:t>t</m:t>
            </m:r>
          </m:sub>
        </m:sSub>
      </m:oMath>
      <w:r>
        <w:t xml:space="preserve"> </w:t>
      </w:r>
      <w:r>
        <w:t xml:space="preserve">captures transition probabilities among transient (i.e., non-absorbing) health states, while</w:t>
      </w:r>
      <w:r>
        <w:t xml:space="preserve"> </w:t>
      </w:r>
      <m:oMath>
        <m:sSub>
          <m:e>
            <m:r>
              <m:rPr>
                <m:sty m:val="b"/>
              </m:rPr>
              <m:t>M</m:t>
            </m:r>
          </m:e>
          <m:sub>
            <m:r>
              <m:t>t</m:t>
            </m:r>
          </m:sub>
        </m:sSub>
      </m:oMath>
      <w:r>
        <w:t xml:space="preserve"> </w:t>
      </w:r>
      <w:r>
        <w:t xml:space="preserve">contains transition probabilities from transient health states to the absorbing (death) states.</w:t>
      </w:r>
    </w:p>
    <w:p>
      <w:pPr>
        <w:pStyle w:val="BodyText"/>
      </w:pPr>
      <w:r>
        <w:t xml:space="preserve">To construct</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we define transition rate (</w:t>
      </w:r>
      <w:r>
        <w:t xml:space="preserve">“</w:t>
      </w:r>
      <w:r>
        <w:t xml:space="preserve">intensity</w:t>
      </w:r>
      <w:r>
        <w:t xml:space="preserve">”</w:t>
      </w:r>
      <w:r>
        <w:t xml:space="preserve">) matrices as in Approaches 1 and 2 above. One important (minor) difference is that the rows in</w:t>
      </w:r>
      <w:r>
        <w:t xml:space="preserve"> </w:t>
      </w:r>
      <m:oMath>
        <m:sSub>
          <m:e>
            <m:r>
              <m:rPr>
                <m:sty m:val="b"/>
              </m:rPr>
              <m:t>Q</m:t>
            </m:r>
          </m:e>
          <m:sub>
            <m:r>
              <m:t>t</m:t>
            </m:r>
          </m:sub>
        </m:sSub>
      </m:oMath>
      <w:r>
        <w:t xml:space="preserve">,</w:t>
      </w:r>
      <w:r>
        <w:t xml:space="preserve"> </w:t>
      </w:r>
      <m:oMath>
        <m:sSub>
          <m:e>
            <m:r>
              <m:rPr>
                <m:sty m:val="b"/>
              </m:rPr>
              <m:t>V</m:t>
            </m:r>
          </m:e>
          <m:sub>
            <m:r>
              <m:t>t</m:t>
            </m:r>
          </m:sub>
        </m:sSub>
      </m:oMath>
      <w:r>
        <w:t xml:space="preserve">, and</w:t>
      </w:r>
      <w:r>
        <w:t xml:space="preserve"> </w:t>
      </w:r>
      <m:oMath>
        <m:sSub>
          <m:e>
            <m:r>
              <m:rPr>
                <m:sty m:val="b"/>
              </m:rPr>
              <m:t>S</m:t>
            </m:r>
          </m:e>
          <m:sub>
            <m:r>
              <m:t>t</m:t>
            </m:r>
          </m:sub>
        </m:sSub>
      </m:oMath>
      <w:r>
        <w:t xml:space="preserve"> </w:t>
      </w:r>
      <w:r>
        <w:t xml:space="preserve">now correspond to the final state, while the columns correspond to the starting state; this is essentially the transpose of the rate matrices defined for Approaches 1 and 2.</w:t>
      </w:r>
    </w:p>
    <w:p>
      <w:pPr>
        <w:pStyle w:val="BodyText"/>
      </w:pPr>
      <w:r>
        <w:t xml:space="preserve">The overall intensity matrix</w:t>
      </w:r>
      <w:r>
        <w:t xml:space="preserve"> </w:t>
      </w:r>
      <m:oMath>
        <m:sSub>
          <m:e>
            <m:r>
              <m:rPr>
                <m:sty m:val="b"/>
              </m:rPr>
              <m:t>Q</m:t>
            </m:r>
          </m:e>
          <m:sub>
            <m:r>
              <m:t>t</m:t>
            </m:r>
          </m:sub>
        </m:sSub>
      </m:oMath>
      <w:r>
        <w:t xml:space="preserve"> </w:t>
      </w:r>
      <w:r>
        <w:t xml:space="preserve">is given by</w:t>
      </w:r>
    </w:p>
    <w:p>
      <w:pPr>
        <w:pStyle w:val="BodyText"/>
      </w:pPr>
      <w:bookmarkStart w:id="72" w:name="eq-Qx"/>
      <m:oMathPara>
        <m:oMathParaPr>
          <m:jc m:val="center"/>
        </m:oMathParaPr>
        <m:oMath>
          <m:sSub>
            <m:e>
              <m:r>
                <m:rPr>
                  <m:sty m:val="b"/>
                </m:rPr>
                <m:t>Q</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V</m:t>
                        </m:r>
                      </m:e>
                      <m:sub>
                        <m:r>
                          <m:t>t</m:t>
                        </m:r>
                      </m:sub>
                    </m:sSub>
                  </m:e>
                  <m:e>
                    <m:r>
                      <m:rPr>
                        <m:sty m:val="b"/>
                      </m:rPr>
                      <m:t>0</m:t>
                    </m:r>
                  </m:e>
                </m:mr>
                <m:mr>
                  <m:e>
                    <m:sSub>
                      <m:e>
                        <m:r>
                          <m:rPr>
                            <m:sty m:val="b"/>
                          </m:rPr>
                          <m:t>S</m:t>
                        </m:r>
                      </m:e>
                      <m:sub>
                        <m:r>
                          <m:t>t</m:t>
                        </m:r>
                      </m:sub>
                    </m:sSub>
                  </m:e>
                  <m:e>
                    <m:r>
                      <m:rPr>
                        <m:sty m:val="b"/>
                      </m:rPr>
                      <m:t>0</m:t>
                    </m:r>
                  </m:e>
                </m:mr>
              </m:m>
            </m:e>
          </m:d>
          <m:r>
            <m:t>  </m:t>
          </m:r>
          <m:d>
            <m:dPr>
              <m:begChr m:val="("/>
              <m:endChr m:val=")"/>
              <m:sepChr m:val=""/>
              <m:grow/>
            </m:dPr>
            <m:e>
              <m:r>
                <m:t>7</m:t>
              </m:r>
            </m:e>
          </m:d>
        </m:oMath>
      </m:oMathPara>
      <w:bookmarkEnd w:id="72"/>
    </w:p>
    <w:p>
      <w:pPr>
        <w:pStyle w:val="FirstParagraph"/>
      </w:pPr>
      <w:r>
        <w:t xml:space="preserve">where</w:t>
      </w:r>
      <w:r>
        <w:t xml:space="preserve"> </w:t>
      </w:r>
      <m:oMath>
        <m:sSub>
          <m:e>
            <m:r>
              <m:rPr>
                <m:sty m:val="b"/>
              </m:rPr>
              <m:t>V</m:t>
            </m:r>
          </m:e>
          <m:sub>
            <m:r>
              <m:t>t</m:t>
            </m:r>
          </m:sub>
        </m:sSub>
      </m:oMath>
      <w:r>
        <w:t xml:space="preserve"> </w:t>
      </w:r>
      <w:r>
        <w:t xml:space="preserve">is the rate matrix for the transitory (i.e., non-absorbing) states and</w:t>
      </w:r>
      <w:r>
        <w:t xml:space="preserve"> </w:t>
      </w:r>
      <m:oMath>
        <m:sSub>
          <m:e>
            <m:r>
              <m:rPr>
                <m:sty m:val="b"/>
              </m:rPr>
              <m:t>S</m:t>
            </m:r>
          </m:e>
          <m:sub>
            <m:r>
              <m:t>t</m:t>
            </m:r>
          </m:sub>
        </m:sSub>
      </m:oMath>
      <w:r>
        <w:t xml:space="preserve"> </w:t>
      </w:r>
      <w:r>
        <w:t xml:space="preserve">is the rate matrix for the absorbing states. The diagonal elements of</w:t>
      </w:r>
      <w:r>
        <w:t xml:space="preserve"> </w:t>
      </w:r>
      <m:oMath>
        <m:sSub>
          <m:e>
            <m:r>
              <m:rPr>
                <m:sty m:val="b"/>
              </m:rPr>
              <m:t>Q</m:t>
            </m:r>
          </m:e>
          <m:sub>
            <m:r>
              <m:t>t</m:t>
            </m:r>
          </m:sub>
        </m:sSub>
      </m:oMath>
      <w:r>
        <w:t xml:space="preserve"> </w:t>
      </w:r>
      <w:r>
        <w:t xml:space="preserve">are the negative sum of the non-diagonal column elements, thus making the column sums of</w:t>
      </w:r>
      <w:r>
        <w:t xml:space="preserve"> </w:t>
      </w:r>
      <m:oMath>
        <m:sSub>
          <m:e>
            <m:r>
              <m:rPr>
                <m:sty m:val="b"/>
              </m:rPr>
              <m:t>Q</m:t>
            </m:r>
          </m:e>
          <m:sub>
            <m:r>
              <m:t>t</m:t>
            </m:r>
          </m:sub>
        </m:sSub>
      </m:oMath>
      <w:r>
        <w:t xml:space="preserve"> </w:t>
      </w:r>
      <w:r>
        <w:t xml:space="preserve">zero (i.e., the model is</w:t>
      </w:r>
      <w:r>
        <w:t xml:space="preserve"> </w:t>
      </w:r>
      <w:r>
        <w:t xml:space="preserve">“</w:t>
      </w:r>
      <w:r>
        <w:t xml:space="preserve">closed</w:t>
      </w:r>
      <w:r>
        <w:t xml:space="preserve">”</w:t>
      </w:r>
      <w:r>
        <w:t xml:space="preserve"> </w:t>
      </w:r>
      <w:r>
        <w:t xml:space="preserve">and does not gain or lose cohort members over time).</w:t>
      </w:r>
    </w:p>
    <w:p>
      <w:pPr>
        <w:pStyle w:val="BodyText"/>
      </w:pPr>
      <w:r>
        <w:t xml:space="preserve">For the defined time step</w:t>
      </w:r>
      <w:r>
        <w:t xml:space="preserve"> </w:t>
      </w:r>
      <m:oMath>
        <m:sSub>
          <m:e>
            <m:r>
              <m:t>Δ</m:t>
            </m:r>
          </m:e>
          <m:sub>
            <m:r>
              <m:t>t</m:t>
            </m:r>
          </m:sub>
        </m:sSub>
      </m:oMath>
      <w:r>
        <w:t xml:space="preserve">, the discrete time transition probability matrix</w:t>
      </w:r>
      <w:r>
        <w:t xml:space="preserve"> </w:t>
      </w:r>
      <m:oMath>
        <m:sSub>
          <m:e>
            <m:r>
              <m:rPr>
                <m:sty m:val="b"/>
              </m:rPr>
              <m:t>P</m:t>
            </m:r>
          </m:e>
          <m:sub>
            <m:r>
              <m:t>t</m:t>
            </m:r>
          </m:sub>
        </m:sSub>
      </m:oMath>
      <w:r>
        <w:t xml:space="preserve"> </w:t>
      </w:r>
      <w:r>
        <w:t xml:space="preserve">is again obtained by taking the matrix exponential of the intensity matrix (</w:t>
      </w:r>
      <m:oMath>
        <m:sSub>
          <m:e>
            <m:r>
              <m:rPr>
                <m:sty m:val="b"/>
              </m:rPr>
              <m:t>Q</m:t>
            </m:r>
          </m:e>
          <m:sub>
            <m:r>
              <m:t>t</m:t>
            </m:r>
          </m:sub>
        </m:sSub>
      </m:oMath>
      <w:r>
        <w:t xml:space="preserve">) multiplied by the time step, i.e.,</w:t>
      </w:r>
      <w:r>
        <w:t xml:space="preserve"> </w:t>
      </w:r>
      <w:hyperlink w:anchor="eq-embed">
        <w:r>
          <w:rPr>
            <w:rStyle w:val="Hyperlink"/>
          </w:rPr>
          <w:t xml:space="preserve">Equation 6</w:t>
        </w:r>
      </w:hyperlink>
      <w:r>
        <w:t xml:space="preserve">:</w:t>
      </w:r>
    </w:p>
    <w:p>
      <w:pPr>
        <w:pStyle w:val="BodyText"/>
      </w:pPr>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oMath>
      </m:oMathPara>
    </w:p>
    <w:p>
      <w:pPr>
        <w:pStyle w:val="FirstParagraph"/>
      </w:pPr>
      <w:r>
        <w:t xml:space="preserve">We obtain</w:t>
      </w:r>
      <w:r>
        <w:t xml:space="preserve"> </w:t>
      </w:r>
      <m:oMath>
        <m:sSub>
          <m:e>
            <m:r>
              <m:rPr>
                <m:sty m:val="b"/>
              </m:rPr>
              <m:t>U</m:t>
            </m:r>
          </m:e>
          <m:sub>
            <m:r>
              <m:t>t</m:t>
            </m:r>
          </m:sub>
        </m:sSub>
      </m:oMath>
      <w:r>
        <w:t xml:space="preserve"> </w:t>
      </w:r>
      <w:r>
        <w:t xml:space="preserve">and</w:t>
      </w:r>
      <w:r>
        <w:t xml:space="preserve"> </w:t>
      </w:r>
      <m:oMath>
        <m:sSub>
          <m:e>
            <m:r>
              <m:rPr>
                <m:sty m:val="b"/>
              </m:rPr>
              <m:t>M</m:t>
            </m:r>
          </m:e>
          <m:sub>
            <m:r>
              <m:t>t</m:t>
            </m:r>
          </m:sub>
        </m:sSub>
      </m:oMath>
      <w:r>
        <w:t xml:space="preserve"> </w:t>
      </w:r>
      <w:r>
        <w:t xml:space="preserve">from the block matrix structure of</w:t>
      </w:r>
      <w:r>
        <w:t xml:space="preserve"> </w:t>
      </w:r>
      <m:oMath>
        <m:sSub>
          <m:e>
            <m:r>
              <m:rPr>
                <m:sty m:val="b"/>
              </m:rPr>
              <m:t>P</m:t>
            </m:r>
          </m:e>
          <m:sub>
            <m:r>
              <m:t>t</m:t>
            </m:r>
          </m:sub>
        </m:sSub>
      </m:oMath>
      <w:r>
        <w:t xml:space="preserve">:</w:t>
      </w:r>
    </w:p>
    <w:p>
      <w:pPr>
        <w:pStyle w:val="BodyText"/>
      </w:pPr>
      <w:bookmarkStart w:id="73" w:name="eq-P3"/>
      <m:oMathPara>
        <m:oMathParaPr>
          <m:jc m:val="center"/>
        </m:oMathParaPr>
        <m:oMath>
          <m:sSub>
            <m:e>
              <m:r>
                <m:rPr>
                  <m:sty m:val="b"/>
                </m:rPr>
                <m:t>P</m:t>
              </m:r>
            </m:e>
            <m:sub>
              <m:r>
                <m:t>t</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U</m:t>
                        </m:r>
                      </m:e>
                      <m:sub>
                        <m:r>
                          <m:t>t</m:t>
                        </m:r>
                      </m:sub>
                    </m:sSub>
                  </m:e>
                  <m:e>
                    <m:r>
                      <m:rPr>
                        <m:sty m:val="b"/>
                      </m:rPr>
                      <m:t>0</m:t>
                    </m:r>
                  </m:e>
                </m:mr>
                <m:mr>
                  <m:e>
                    <m:sSub>
                      <m:e>
                        <m:r>
                          <m:rPr>
                            <m:sty m:val="b"/>
                          </m:rPr>
                          <m:t>M</m:t>
                        </m:r>
                      </m:e>
                      <m:sub>
                        <m:r>
                          <m:t>t</m:t>
                        </m:r>
                      </m:sub>
                    </m:sSub>
                  </m:e>
                  <m:e>
                    <m:r>
                      <m:rPr>
                        <m:sty m:val="b"/>
                      </m:rPr>
                      <m:t>0</m:t>
                    </m:r>
                  </m:e>
                </m:mr>
              </m:m>
            </m:e>
          </m:d>
          <m:r>
            <m:t>  </m:t>
          </m:r>
          <m:d>
            <m:dPr>
              <m:begChr m:val="("/>
              <m:endChr m:val=")"/>
              <m:sepChr m:val=""/>
              <m:grow/>
            </m:dPr>
            <m:e>
              <m:r>
                <m:t>8</m:t>
              </m:r>
            </m:e>
          </m:d>
        </m:oMath>
      </m:oMathPara>
      <w:bookmarkEnd w:id="73"/>
    </w:p>
    <w:p>
      <w:pPr>
        <w:pStyle w:val="FirstParagraph"/>
      </w:pPr>
      <w:r>
        <w:t xml:space="preserve">In addition, the matrix</w:t>
      </w:r>
      <w:r>
        <w:t xml:space="preserve"> </w:t>
      </w:r>
      <m:oMath>
        <m:sSub>
          <m:e>
            <m:r>
              <m:rPr>
                <m:sty m:val="b"/>
              </m:rPr>
              <m:t>D</m:t>
            </m:r>
          </m:e>
          <m:sub>
            <m:r>
              <m:t>j</m:t>
            </m:r>
          </m:sub>
        </m:sSub>
      </m:oMath>
      <w:r>
        <w:t xml:space="preserve"> </w:t>
      </w:r>
      <w:r>
        <w:t xml:space="preserve">defines age advancement in the model. Borrowing from an example in</w:t>
      </w:r>
      <w:r>
        <w:t xml:space="preserve"> </w:t>
      </w:r>
      <w:r>
        <w:t xml:space="preserve">Caswell and van Daalen (2021)</w:t>
      </w:r>
      <w:r>
        <w:t xml:space="preserve">, if</w:t>
      </w:r>
      <w:r>
        <w:t xml:space="preserve"> </w:t>
      </w:r>
      <m:oMath>
        <m:r>
          <m:t>ω</m:t>
        </m:r>
        <m:r>
          <m:rPr>
            <m:sty m:val="p"/>
          </m:rPr>
          <m:t>=</m:t>
        </m:r>
        <m:r>
          <m:t>3</m:t>
        </m:r>
      </m:oMath>
      <w:r>
        <w:t xml:space="preserve"> </w:t>
      </w:r>
      <w:r>
        <w:t xml:space="preserve">then</w:t>
      </w:r>
    </w:p>
    <w:p>
      <w:pPr>
        <w:pStyle w:val="BodyText"/>
      </w:pPr>
      <w:bookmarkStart w:id="74" w:name="eq-D"/>
      <m:oMathPara>
        <m:oMathParaPr>
          <m:jc m:val="center"/>
        </m:oMathParaPr>
        <m:oMath>
          <m:sSub>
            <m:e>
              <m:r>
                <m:rPr>
                  <m:sty m:val="b"/>
                </m:rPr>
                <m:t>D</m:t>
              </m:r>
            </m:e>
            <m:sub>
              <m:r>
                <m:t>j</m:t>
              </m:r>
            </m:sub>
          </m:sSub>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1</m:t>
                    </m:r>
                  </m:e>
                  <m:e>
                    <m:r>
                      <m:t>0</m:t>
                    </m:r>
                  </m:e>
                  <m:e>
                    <m:r>
                      <m:t>0</m:t>
                    </m:r>
                  </m:e>
                </m:mr>
                <m:mr>
                  <m:e>
                    <m:r>
                      <m:t>0</m:t>
                    </m:r>
                  </m:e>
                  <m:e>
                    <m:r>
                      <m:t>1</m:t>
                    </m:r>
                  </m:e>
                  <m:e>
                    <m:d>
                      <m:dPr>
                        <m:begChr m:val="["/>
                        <m:endChr m:val="]"/>
                        <m:sepChr m:val=""/>
                        <m:grow/>
                      </m:dPr>
                      <m:e>
                        <m:r>
                          <m:t>1</m:t>
                        </m:r>
                      </m:e>
                    </m:d>
                  </m:e>
                </m:mr>
              </m:m>
            </m:e>
          </m:d>
          <m:r>
            <m:t> </m:t>
          </m:r>
          <m:r>
            <m:t>j</m:t>
          </m:r>
          <m:r>
            <m:rPr>
              <m:sty m:val="p"/>
            </m:rPr>
            <m:t>=</m:t>
          </m:r>
          <m:r>
            <m:t>1</m:t>
          </m:r>
          <m:r>
            <m:rPr>
              <m:sty m:val="p"/>
            </m:rPr>
            <m:t>,</m:t>
          </m:r>
          <m:r>
            <m:rPr>
              <m:sty m:val="p"/>
            </m:rPr>
            <m:t>…</m:t>
          </m:r>
          <m:r>
            <m:rPr>
              <m:sty m:val="p"/>
            </m:rPr>
            <m:t>,</m:t>
          </m:r>
          <m:r>
            <m:t>τ</m:t>
          </m:r>
          <m:r>
            <m:t>  </m:t>
          </m:r>
          <m:d>
            <m:dPr>
              <m:begChr m:val="("/>
              <m:endChr m:val=")"/>
              <m:sepChr m:val=""/>
              <m:grow/>
            </m:dPr>
            <m:e>
              <m:r>
                <m:t>9</m:t>
              </m:r>
            </m:e>
          </m:d>
        </m:oMath>
      </m:oMathPara>
      <w:bookmarkEnd w:id="74"/>
    </w:p>
    <w:p>
      <w:pPr>
        <w:pStyle w:val="FirstParagraph"/>
      </w:pPr>
      <w:r>
        <w:t xml:space="preserve">In our implementation, we include the (optional) value of one in the lower right corner; this assumes that after the last specified age, the cohort continues to experience transitions among health states according to the transition probabilities defined for the last age class. If this value is zero, the model will assume that everyone dies after the last cycle.</w:t>
      </w:r>
    </w:p>
    <w:p>
      <w:pPr>
        <w:pStyle w:val="BodyText"/>
      </w:pPr>
      <w:r>
        <w:t xml:space="preserve">We next combine the transition matrices (for all age classes as defined by discrete time cycles) together into a series of block-structured matrices as follows:</w:t>
      </w:r>
    </w:p>
    <w:p>
      <w:pPr>
        <w:pStyle w:val="BodyText"/>
      </w:pPr>
      <w:bookmarkStart w:id="75" w:name="eq-bbU"/>
      <w:r>
        <w:t xml:space="preserve">$$
\mathbb{U}=\left(\begin{array}{c|c|c}
\mathbf{U}_1 &amp; \cdots &amp; \mathbf{0} \\
\hline &amp; \ddots &amp; \\
\hline \mathbf{0} &amp; \cdots &amp; \mathbf{U}_\omega
\end{array}\right)
 \qquad(10)$$</w:t>
      </w:r>
      <w:bookmarkEnd w:id="75"/>
    </w:p>
    <w:p>
      <w:pPr>
        <w:pStyle w:val="FirstParagraph"/>
      </w:pPr>
      <w:bookmarkStart w:id="76" w:name="eq-BBD"/>
      <w:r>
        <w:t xml:space="preserve">$$
\mathbb{D}=\left(\begin{array}{c|c|c}
\mathbf{D}_1 &amp; \cdots &amp; \mathbf{0} \\
\hline &amp; \ddots &amp; \\
\hline \mathbf{0} &amp; \cdots &amp; \mathbf{D}_\tau
\end{array}\right)
 \qquad(11)$$</w:t>
      </w:r>
      <w:bookmarkEnd w:id="76"/>
    </w:p>
    <w:p>
      <w:pPr>
        <w:pStyle w:val="FirstParagraph"/>
      </w:pPr>
      <w:bookmarkStart w:id="77" w:name="eq-Utilde"/>
      <m:oMathPara>
        <m:oMathParaPr>
          <m:jc m:val="center"/>
        </m:oMathParaPr>
        <m:oMath>
          <m:acc>
            <m:accPr>
              <m:chr m:val="̃"/>
            </m:accPr>
            <m:e>
              <m:r>
                <m:rPr>
                  <m:sty m:val="b"/>
                </m:rPr>
                <m:t>U</m:t>
              </m:r>
            </m:e>
          </m:acc>
          <m:r>
            <m:rPr>
              <m:sty m:val="p"/>
            </m:rPr>
            <m:t>=</m:t>
          </m:r>
          <m:sSup>
            <m:e>
              <m:r>
                <m:rPr>
                  <m:sty m:val="b"/>
                </m:rPr>
                <m:t>K</m:t>
              </m:r>
            </m:e>
            <m:sup>
              <m:r>
                <m:rPr>
                  <m:sty m:val="p"/>
                </m:rPr>
                <m:t>⊤</m:t>
              </m:r>
            </m:sup>
          </m:sSup>
          <m:r>
            <m:rPr>
              <m:sty m:val="p"/>
              <m:scr m:val="double-struck"/>
            </m:rPr>
            <m:t>D</m:t>
          </m:r>
          <m:r>
            <m:rPr>
              <m:sty m:val="b"/>
            </m:rPr>
            <m:t>K</m:t>
          </m:r>
          <m:r>
            <m:rPr>
              <m:sty m:val="p"/>
              <m:scr m:val="double-struck"/>
            </m:rPr>
            <m:t>U</m:t>
          </m:r>
          <m:r>
            <m:t> </m:t>
          </m:r>
          <m:r>
            <m:t>τ</m:t>
          </m:r>
          <m:r>
            <m:t>ω</m:t>
          </m:r>
          <m:r>
            <m:rPr>
              <m:sty m:val="p"/>
            </m:rPr>
            <m:t>×</m:t>
          </m:r>
          <m:r>
            <m:t>τ</m:t>
          </m:r>
          <m:r>
            <m:t>ω</m:t>
          </m:r>
          <m:r>
            <m:t>  </m:t>
          </m:r>
          <m:d>
            <m:dPr>
              <m:begChr m:val="("/>
              <m:endChr m:val=")"/>
              <m:sepChr m:val=""/>
              <m:grow/>
            </m:dPr>
            <m:e>
              <m:r>
                <m:t>12</m:t>
              </m:r>
            </m:e>
          </m:d>
        </m:oMath>
      </m:oMathPara>
      <w:bookmarkEnd w:id="77"/>
    </w:p>
    <w:p>
      <w:pPr>
        <w:pStyle w:val="FirstParagraph"/>
      </w:pPr>
      <w:r>
        <w:t xml:space="preserve">where</w:t>
      </w:r>
      <w:r>
        <w:t xml:space="preserve"> </w:t>
      </w:r>
      <m:oMath>
        <m:sSup>
          <m:e>
            <m:r>
              <m:t>​</m:t>
            </m:r>
          </m:e>
          <m:sup>
            <m:r>
              <m:rPr>
                <m:sty m:val="p"/>
              </m:rPr>
              <m:t>⊤</m:t>
            </m:r>
          </m:sup>
        </m:sSup>
      </m:oMath>
      <w:r>
        <w:t xml:space="preserve"> </w:t>
      </w:r>
      <w:r>
        <w:t xml:space="preserve">is the transpose operator.</w:t>
      </w:r>
    </w:p>
    <w:p>
      <w:pPr>
        <w:pStyle w:val="BodyText"/>
      </w:pPr>
      <w:r>
        <w:t xml:space="preserve">We also define</w:t>
      </w:r>
    </w:p>
    <w:p>
      <w:pPr>
        <w:pStyle w:val="BodyText"/>
      </w:pPr>
      <w:bookmarkStart w:id="78" w:name="eq-Mtilde"/>
      <m:oMathPara>
        <m:oMathParaPr>
          <m:jc m:val="center"/>
        </m:oMathParaPr>
        <m:oMath>
          <m:acc>
            <m:accPr>
              <m:chr m:val="̃"/>
            </m:accPr>
            <m:e>
              <m:r>
                <m:rPr>
                  <m:sty m:val="b"/>
                </m:rPr>
                <m:t>M</m:t>
              </m:r>
            </m:e>
          </m:acc>
          <m:r>
            <m:rPr>
              <m:sty m:val="p"/>
            </m:rPr>
            <m:t>=</m:t>
          </m:r>
          <m:d>
            <m:dPr>
              <m:begChr m:val="("/>
              <m:endChr m:val=")"/>
              <m:sepChr m:val=""/>
              <m:grow/>
            </m:dPr>
            <m:e>
              <m:m>
                <m:mPr>
                  <m:baseJc m:val="center"/>
                  <m:plcHide m:val="on"/>
                  <m:mcs>
                    <m:mc>
                      <m:mcPr>
                        <m:mcJc m:val="left"/>
                        <m:count m:val="1"/>
                      </m:mcPr>
                    </m:mc>
                    <m:mc>
                      <m:mcPr>
                        <m:mcJc m:val="left"/>
                        <m:count m:val="1"/>
                      </m:mcPr>
                    </m:mc>
                    <m:mc>
                      <m:mcPr>
                        <m:mcJc m:val="left"/>
                        <m:count m:val="1"/>
                      </m:mcPr>
                    </m:mc>
                  </m:mcs>
                </m:mPr>
                <m:mr>
                  <m:e>
                    <m:sSub>
                      <m:e>
                        <m:r>
                          <m:rPr>
                            <m:sty m:val="b"/>
                          </m:rPr>
                          <m:t>M</m:t>
                        </m:r>
                      </m:e>
                      <m:sub>
                        <m:r>
                          <m:t>1</m:t>
                        </m:r>
                      </m:sub>
                    </m:sSub>
                  </m:e>
                  <m:e>
                    <m:r>
                      <m:rPr>
                        <m:sty m:val="p"/>
                      </m:rPr>
                      <m:t>⋯</m:t>
                    </m:r>
                  </m:e>
                  <m:e>
                    <m:sSub>
                      <m:e>
                        <m:r>
                          <m:rPr>
                            <m:sty m:val="b"/>
                          </m:rPr>
                          <m:t>M</m:t>
                        </m:r>
                      </m:e>
                      <m:sub>
                        <m:r>
                          <m:t>ω</m:t>
                        </m:r>
                      </m:sub>
                    </m:sSub>
                  </m:e>
                </m:mr>
              </m:m>
            </m:e>
          </m:d>
          <m:r>
            <m:t> </m:t>
          </m:r>
          <m:r>
            <m:t>α</m:t>
          </m:r>
          <m:r>
            <m:rPr>
              <m:sty m:val="p"/>
            </m:rPr>
            <m:t>×</m:t>
          </m:r>
          <m:r>
            <m:t>τ</m:t>
          </m:r>
          <m:r>
            <m:t>ω</m:t>
          </m:r>
          <m:r>
            <m:t>  </m:t>
          </m:r>
          <m:d>
            <m:dPr>
              <m:begChr m:val="("/>
              <m:endChr m:val=")"/>
              <m:sepChr m:val=""/>
              <m:grow/>
            </m:dPr>
            <m:e>
              <m:r>
                <m:t>13</m:t>
              </m:r>
            </m:e>
          </m:d>
        </m:oMath>
      </m:oMathPara>
      <w:bookmarkEnd w:id="78"/>
    </w:p>
    <w:p>
      <w:pPr>
        <w:pStyle w:val="FirstParagraph"/>
      </w:pPr>
      <w:r>
        <w:t xml:space="preserve">Finally, we capture the entire Markov chain in a block transition matrix,</w:t>
      </w:r>
    </w:p>
    <w:p>
      <w:pPr>
        <w:pStyle w:val="BodyText"/>
      </w:pPr>
      <w:bookmarkStart w:id="79" w:name="eq-Ptilde"/>
      <m:oMathPara>
        <m:oMathParaPr>
          <m:jc m:val="center"/>
        </m:oMathParaPr>
        <m:oMath>
          <m:acc>
            <m:accPr>
              <m:chr m:val="̃"/>
            </m:accPr>
            <m:e>
              <m:r>
                <m:rPr>
                  <m:sty m:val="b"/>
                </m:rPr>
                <m:t>P</m:t>
              </m:r>
            </m:e>
          </m:acc>
          <m:r>
            <m:rPr>
              <m:sty m:val="p"/>
            </m:rPr>
            <m:t>=</m:t>
          </m:r>
          <m:d>
            <m:dPr>
              <m:begChr m:val="("/>
              <m:endChr m:val=")"/>
              <m:sepChr m:val=""/>
              <m:grow/>
            </m:dPr>
            <m:e>
              <m:m>
                <m:mPr>
                  <m:baseJc m:val="center"/>
                  <m:plcHide m:val="on"/>
                  <m:mcs>
                    <m:mc>
                      <m:mcPr>
                        <m:mcJc m:val="center"/>
                        <m:count m:val="1"/>
                      </m:mcPr>
                    </m:mc>
                    <m:mc>
                      <m:mcPr>
                        <m:mcJc m:val="center"/>
                        <m:count m:val="1"/>
                      </m:mcPr>
                    </m:mc>
                  </m:mcs>
                </m:mPr>
                <m:mr>
                  <m:e>
                    <m:acc>
                      <m:accPr>
                        <m:chr m:val="̃"/>
                      </m:accPr>
                      <m:e>
                        <m:r>
                          <m:rPr>
                            <m:sty m:val="b"/>
                          </m:rPr>
                          <m:t>U</m:t>
                        </m:r>
                      </m:e>
                    </m:acc>
                  </m:e>
                  <m:e>
                    <m:sSub>
                      <m:e>
                        <m:r>
                          <m:rPr>
                            <m:sty m:val="b"/>
                          </m:rPr>
                          <m:t>0</m:t>
                        </m:r>
                      </m:e>
                      <m:sub>
                        <m:r>
                          <m:t>τ</m:t>
                        </m:r>
                        <m:r>
                          <m:t>ω</m:t>
                        </m:r>
                        <m:r>
                          <m:rPr>
                            <m:sty m:val="p"/>
                          </m:rPr>
                          <m:t>×</m:t>
                        </m:r>
                        <m:r>
                          <m:t>α</m:t>
                        </m:r>
                      </m:sub>
                    </m:sSub>
                  </m:e>
                </m:mr>
                <m:mr>
                  <m:e>
                    <m:acc>
                      <m:accPr>
                        <m:chr m:val="̃"/>
                      </m:accPr>
                      <m:e>
                        <m:r>
                          <m:rPr>
                            <m:sty m:val="b"/>
                          </m:rPr>
                          <m:t>M</m:t>
                        </m:r>
                      </m:e>
                    </m:acc>
                  </m:e>
                  <m:e>
                    <m:sSub>
                      <m:e>
                        <m:r>
                          <m:rPr>
                            <m:sty m:val="b"/>
                          </m:rPr>
                          <m:t>I</m:t>
                        </m:r>
                      </m:e>
                      <m:sub>
                        <m:r>
                          <m:t>α</m:t>
                        </m:r>
                        <m:r>
                          <m:rPr>
                            <m:sty m:val="p"/>
                          </m:rPr>
                          <m:t>×</m:t>
                        </m:r>
                        <m:r>
                          <m:t>α</m:t>
                        </m:r>
                      </m:sub>
                    </m:sSub>
                  </m:e>
                </m:mr>
              </m:m>
            </m:e>
          </m:d>
          <m:r>
            <m:t> </m:t>
          </m:r>
          <m:d>
            <m:dPr>
              <m:begChr m:val="("/>
              <m:endChr m:val=")"/>
              <m:sepChr m:val=""/>
              <m:grow/>
            </m:dPr>
            <m:e>
              <m:r>
                <m:t>τ</m:t>
              </m:r>
              <m:r>
                <m:t>ω</m:t>
              </m:r>
              <m:r>
                <m:rPr>
                  <m:sty m:val="p"/>
                </m:rPr>
                <m:t>+</m:t>
              </m:r>
              <m:r>
                <m:t>α</m:t>
              </m:r>
            </m:e>
          </m:d>
          <m:r>
            <m:rPr>
              <m:sty m:val="p"/>
            </m:rPr>
            <m:t>×</m:t>
          </m:r>
          <m:d>
            <m:dPr>
              <m:begChr m:val="("/>
              <m:endChr m:val=")"/>
              <m:sepChr m:val=""/>
              <m:grow/>
            </m:dPr>
            <m:e>
              <m:r>
                <m:t>τ</m:t>
              </m:r>
              <m:r>
                <m:t>ω</m:t>
              </m:r>
              <m:r>
                <m:rPr>
                  <m:sty m:val="p"/>
                </m:rPr>
                <m:t>+</m:t>
              </m:r>
              <m:r>
                <m:t>α</m:t>
              </m:r>
            </m:e>
          </m:d>
          <m:r>
            <m:t>  </m:t>
          </m:r>
          <m:d>
            <m:dPr>
              <m:begChr m:val="("/>
              <m:endChr m:val=")"/>
              <m:sepChr m:val=""/>
              <m:grow/>
            </m:dPr>
            <m:e>
              <m:r>
                <m:t>14</m:t>
              </m:r>
            </m:e>
          </m:d>
        </m:oMath>
      </m:oMathPara>
      <w:bookmarkEnd w:id="79"/>
    </w:p>
    <w:p>
      <w:pPr>
        <w:pStyle w:val="FirstParagraph"/>
      </w:pPr>
      <w:r>
        <w:t xml:space="preserve">where</w:t>
      </w:r>
      <w:r>
        <w:t xml:space="preserve"> </w:t>
      </w:r>
      <m:oMath>
        <m:r>
          <m:rPr>
            <m:sty m:val="b"/>
          </m:rPr>
          <m:t>I</m:t>
        </m:r>
      </m:oMath>
      <w:r>
        <w:t xml:space="preserve"> </w:t>
      </w:r>
      <w:r>
        <w:t xml:space="preserve">is the identity matrix and</w:t>
      </w:r>
      <w:r>
        <w:t xml:space="preserve"> </w:t>
      </w:r>
      <m:oMath>
        <m:r>
          <m:rPr>
            <m:sty m:val="b"/>
          </m:rPr>
          <m:t>0</m:t>
        </m:r>
      </m:oMath>
      <w:r>
        <w:t xml:space="preserve"> </w:t>
      </w:r>
      <w:r>
        <w:t xml:space="preserve">is a matrix of zeros.</w:t>
      </w:r>
    </w:p>
    <w:p>
      <w:pPr>
        <w:pStyle w:val="BodyText"/>
      </w:pPr>
      <m:oMath>
        <m:acc>
          <m:accPr>
            <m:chr m:val="̃"/>
          </m:accPr>
          <m:e>
            <m:r>
              <m:rPr>
                <m:sty m:val="b"/>
              </m:rPr>
              <m:t>P</m:t>
            </m:r>
          </m:e>
        </m:acc>
      </m:oMath>
      <w:r>
        <w:t xml:space="preserve"> </w:t>
      </w:r>
      <w:r>
        <w:t xml:space="preserve">is the analogue to the transition matrix</w:t>
      </w:r>
      <w:r>
        <w:t xml:space="preserve"> </w:t>
      </w:r>
      <m:oMath>
        <m:sSub>
          <m:e>
            <m:r>
              <m:rPr>
                <m:sty m:val="b"/>
              </m:rPr>
              <m:t>P</m:t>
            </m:r>
          </m:e>
          <m:sub>
            <m:r>
              <m:t>t</m:t>
            </m:r>
          </m:sub>
        </m:sSub>
      </m:oMath>
      <w:r>
        <w:t xml:space="preserve"> </w:t>
      </w:r>
      <w:r>
        <w:t xml:space="preserve">(</w:t>
      </w:r>
      <w:hyperlink w:anchor="eq-embed">
        <w:r>
          <w:rPr>
            <w:rStyle w:val="Hyperlink"/>
          </w:rPr>
          <w:t xml:space="preserve">Equation 6</w:t>
        </w:r>
      </w:hyperlink>
      <w:r>
        <w:t xml:space="preserve">) under Approaches 1 and 2 above.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80"/>
    <w:bookmarkEnd w:id="81"/>
    <w:bookmarkStart w:id="107" w:name="sec-outcomes"/>
    <w:p>
      <w:pPr>
        <w:pStyle w:val="Heading2"/>
      </w:pPr>
      <w:r>
        <w:t xml:space="preserve">5 DALY Outcomes Under Approaches 1 and 2</w:t>
      </w:r>
    </w:p>
    <w:p>
      <w:pPr>
        <w:pStyle w:val="FirstParagraph"/>
      </w:pPr>
      <w:r>
        <w:t xml:space="preserve">With transition matrices and other relevant model objects defined, we next define formulas for estimating outcomes. Our three approaches differ in how total (or expected)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 Finally, Approach 3 differs insofar as it directly solves for expected outcomes (i.e., the approach does not require calculation of cycle-specific values).</w:t>
      </w:r>
    </w:p>
    <w:bookmarkStart w:id="85" w:name="markov-trace"/>
    <w:p>
      <w:pPr>
        <w:pStyle w:val="Heading3"/>
      </w:pPr>
      <w:r>
        <w:t xml:space="preserve">5.1 Markov Trace</w:t>
      </w:r>
    </w:p>
    <w:p>
      <w:pPr>
        <w:pStyle w:val="FirstParagraph"/>
      </w:pPr>
      <w:r>
        <w:t xml:space="preserve">YLL outcomes calculated under Approach 1 requires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is calculated as:</w:t>
      </w:r>
    </w:p>
    <w:p>
      <w:pPr>
        <w:pStyle w:val="BodyText"/>
      </w:pPr>
      <w:bookmarkStart w:id="82"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15</m:t>
              </m:r>
            </m:e>
          </m:d>
        </m:oMath>
      </m:oMathPara>
      <w:bookmarkEnd w:id="82"/>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83"/>
      </w:r>
    </w:p>
    <w:p>
      <w:pPr>
        <w:pStyle w:val="BodyText"/>
      </w:pPr>
      <w:r>
        <w:t xml:space="preserve">We apply</w:t>
      </w:r>
      <w:r>
        <w:t xml:space="preserve"> </w:t>
      </w:r>
      <w:hyperlink w:anchor="eq-trace">
        <w:r>
          <w:rPr>
            <w:rStyle w:val="Hyperlink"/>
          </w:rPr>
          <w:t xml:space="preserve">Equation 15</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84"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16</m:t>
              </m:r>
            </m:e>
          </m:d>
        </m:oMath>
      </m:oMathPara>
      <w:bookmarkEnd w:id="84"/>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assumes that all health state transitions occur at the end of each cycle. If we were to instead assume transitions occur at the beginning of the cycle, we would set the matrix to run from</w:t>
      </w:r>
      <w:r>
        <w:t xml:space="preserve"> </w:t>
      </w:r>
      <m:oMath>
        <m:r>
          <m:t>t</m:t>
        </m:r>
        <m:r>
          <m:rPr>
            <m:sty m:val="p"/>
          </m:rPr>
          <m:t>=</m:t>
        </m:r>
        <m:r>
          <m:t>1</m:t>
        </m:r>
      </m:oMath>
      <w:r>
        <w:t xml:space="preserve"> </w:t>
      </w:r>
      <w:r>
        <w:t xml:space="preserve">to</w:t>
      </w:r>
      <w:r>
        <w:t xml:space="preserve"> </w:t>
      </w:r>
      <m:oMath>
        <m:r>
          <m:t>ω</m:t>
        </m:r>
      </m:oMath>
      <w:r>
        <w:t xml:space="preserve">.</w:t>
      </w:r>
    </w:p>
    <w:bookmarkEnd w:id="85"/>
    <w:bookmarkStart w:id="95" w:name="years-of-life-lived-with-disability-yld"/>
    <w:p>
      <w:pPr>
        <w:pStyle w:val="Heading3"/>
      </w:pPr>
      <w:r>
        <w:t xml:space="preserve">5.2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87" name="Picture"/>
            <a:graphic>
              <a:graphicData uri="http://schemas.openxmlformats.org/drawingml/2006/picture">
                <pic:pic>
                  <pic:nvPicPr>
                    <pic:cNvPr descr="images/d_yld.png" id="88" name="Picture"/>
                    <pic:cNvPicPr>
                      <a:picLocks noChangeArrowheads="1" noChangeAspect="1"/>
                    </pic:cNvPicPr>
                  </pic:nvPicPr>
                  <pic:blipFill>
                    <a:blip r:embed="rId86"/>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9"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17</m:t>
              </m:r>
            </m:e>
          </m:d>
        </m:oMath>
      </m:oMathPara>
      <w:bookmarkEnd w:id="89"/>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in order to maintain the continuous-time discounting approach used in the original GBD equations</w:t>
      </w:r>
      <w:r>
        <w:t xml:space="preserve"> </w:t>
      </w:r>
      <w:r>
        <w:t xml:space="preserve">(Larson 2013)</w:t>
      </w:r>
      <w:r>
        <w:t xml:space="preserve">.</w:t>
      </w:r>
      <w:r>
        <w:rPr>
          <w:rStyle w:val="FootnoteReference"/>
        </w:rPr>
        <w:footnoteReference w:id="90"/>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91" w:name="eq-yldt"/>
      <m:oMathPara>
        <m:oMathParaPr>
          <m:jc m:val="center"/>
        </m:oMathParaPr>
        <m:oMath>
          <m:r>
            <m:t>Y</m:t>
          </m:r>
          <m:r>
            <m:t>L</m:t>
          </m:r>
          <m:sSub>
            <m:e>
              <m:r>
                <m:t>D</m:t>
              </m:r>
            </m:e>
            <m:sub>
              <m:r>
                <m:t>t</m:t>
              </m:r>
            </m:sub>
          </m:sSub>
          <m:r>
            <m:rPr>
              <m:sty m:val="p"/>
            </m:rPr>
            <m:t>=</m:t>
          </m:r>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18</m:t>
              </m:r>
            </m:e>
          </m:d>
        </m:oMath>
      </m:oMathPara>
      <w:bookmarkEnd w:id="91"/>
    </w:p>
    <w:p>
      <w:pPr>
        <w:pStyle w:val="FirstParagraph"/>
      </w:pPr>
      <w:r>
        <w:t xml:space="preserve">Total discounted YLDs are obtained by summing cycle-specific discounted YLD outcomes,</w:t>
      </w:r>
    </w:p>
    <w:p>
      <w:pPr>
        <w:pStyle w:val="BodyText"/>
      </w:pPr>
      <w:bookmarkStart w:id="92"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19</m:t>
              </m:r>
            </m:e>
          </m:d>
        </m:oMath>
      </m:oMathPara>
      <w:bookmarkEnd w:id="92"/>
    </w:p>
    <w:p>
      <w:pPr>
        <w:pStyle w:val="FirstParagraph"/>
      </w:pPr>
      <w:r>
        <w:t xml:space="preserve">We can incorporate additional cycle adjustments (e.g., half-cycle adjustment or an adjustment based on Simpson’s rule) by defining a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93"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20</m:t>
              </m:r>
            </m:e>
          </m:d>
        </m:oMath>
      </m:oMathPara>
      <w:bookmarkEnd w:id="93"/>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p>
    <w:p>
      <w:pPr>
        <w:pStyle w:val="BodyText"/>
      </w:pPr>
      <w:r>
        <w:t xml:space="preserve">Finally, an equivalent way to calculate YLD outcomes is through matrix multiplication of the Markov trace matrix and the YLD payoff vector,</w:t>
      </w:r>
    </w:p>
    <w:p>
      <w:pPr>
        <w:pStyle w:val="BodyText"/>
      </w:pPr>
      <w:bookmarkStart w:id="94"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21</m:t>
              </m:r>
            </m:e>
          </m:d>
        </m:oMath>
      </m:oMathPara>
      <w:bookmarkEnd w:id="94"/>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95"/>
    <w:bookmarkStart w:id="100" w:name="Xb3bef7c4057894b8d07aa19f3ffbd570d2c3628"/>
    <w:p>
      <w:pPr>
        <w:pStyle w:val="Heading3"/>
      </w:pPr>
      <w:r>
        <w:t xml:space="preserve">5.3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 in</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96"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22</m:t>
              </m:r>
            </m:e>
          </m:d>
        </m:oMath>
      </m:oMathPara>
      <w:bookmarkEnd w:id="96"/>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97"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23</m:t>
              </m:r>
            </m:e>
          </m:d>
        </m:oMath>
      </m:oMathPara>
      <w:bookmarkEnd w:id="97"/>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or an endogenous life table,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w:r>
        <w:rPr>
          <w:rStyle w:val="VerbatimChar"/>
        </w:rPr>
        <w:t xml:space="preserve">DS</w:t>
      </w:r>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98"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24</m:t>
              </m:r>
            </m:e>
          </m:d>
        </m:oMath>
      </m:oMathPara>
      <w:bookmarkEnd w:id="98"/>
    </w:p>
    <w:p>
      <w:pPr>
        <w:pStyle w:val="FirstParagraph"/>
      </w:pPr>
      <w:r>
        <w:t xml:space="preserve">Total discounted YLLs are given by,</w:t>
      </w:r>
    </w:p>
    <w:p>
      <w:pPr>
        <w:pStyle w:val="BodyText"/>
      </w:pPr>
      <w:bookmarkStart w:id="99"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25</m:t>
              </m:r>
            </m:e>
          </m:d>
        </m:oMath>
      </m:oMathPara>
      <w:bookmarkEnd w:id="99"/>
    </w:p>
    <w:bookmarkEnd w:id="100"/>
    <w:bookmarkStart w:id="106" w:name="X44799b0392508918d8874fd08d4455d69a16b6b"/>
    <w:p>
      <w:pPr>
        <w:pStyle w:val="Heading3"/>
      </w:pPr>
      <w:r>
        <w:t xml:space="preserve">5.4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w:r>
        <w:rPr>
          <w:rStyle w:val="VerbatimChar"/>
        </w:rPr>
        <w:t xml:space="preserve">trDS</w:t>
      </w:r>
      <w:r>
        <w:t xml:space="preserve">) and zeros elsewhere,</w:t>
      </w:r>
    </w:p>
    <w:p>
      <w:pPr>
        <w:pStyle w:val="BodyText"/>
      </w:pPr>
      <w:r>
        <w:drawing>
          <wp:inline>
            <wp:extent cx="2377440" cy="1217998"/>
            <wp:effectExtent b="0" l="0" r="0" t="0"/>
            <wp:docPr descr="" title="" id="102" name="Picture"/>
            <a:graphic>
              <a:graphicData uri="http://schemas.openxmlformats.org/drawingml/2006/picture">
                <pic:pic>
                  <pic:nvPicPr>
                    <pic:cNvPr descr="images/d_yll.png" id="103" name="Picture"/>
                    <pic:cNvPicPr>
                      <a:picLocks noChangeArrowheads="1" noChangeAspect="1"/>
                    </pic:cNvPicPr>
                  </pic:nvPicPr>
                  <pic:blipFill>
                    <a:blip r:embed="rId101"/>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104"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r>
                    <m:rPr>
                      <m:sty m:val="b"/>
                    </m:rPr>
                    <m:t>s</m:t>
                  </m:r>
                  <m:sSub>
                    <m:e>
                      <m:r>
                        <m:rPr>
                          <m:sty m:val="p"/>
                        </m:rPr>
                        <m:t>′</m:t>
                      </m:r>
                    </m:e>
                    <m:sub>
                      <m:r>
                        <m:t>0</m:t>
                      </m:r>
                    </m:sub>
                  </m:sSub>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26</m:t>
              </m:r>
            </m:e>
          </m:d>
        </m:oMath>
      </m:oMathPara>
      <w:bookmarkEnd w:id="104"/>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105"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27</m:t>
              </m:r>
            </m:e>
          </m:d>
        </m:oMath>
      </m:oMathPara>
      <w:bookmarkEnd w:id="105"/>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6"/>
    <w:bookmarkEnd w:id="107"/>
    <w:bookmarkStart w:id="123" w:name="sec-outcomes3"/>
    <w:p>
      <w:pPr>
        <w:pStyle w:val="Heading2"/>
      </w:pPr>
      <w:r>
        <w:t xml:space="preserve">6 DALY Outcomes Under Approach 3</w:t>
      </w:r>
    </w:p>
    <w:p>
      <w:pPr>
        <w:pStyle w:val="FirstParagraph"/>
      </w:pPr>
      <w:r>
        <w:t xml:space="preserve">Our advanced approach draws on Markov chain with rewards methods that define reward matrices for occupancy-based (YLD) and transition-based (YLL) outcomes. These reward matrices allow us to estimate outcomes for any combination of health states and/or ages. Reward matrices have notation</w:t>
      </w:r>
      <w:r>
        <w:t xml:space="preserve"> </w:t>
      </w:r>
      <m:oMath>
        <m:sSub>
          <m:e>
            <m:r>
              <m:rPr>
                <m:sty m:val="b"/>
              </m:rPr>
              <m:t>R</m:t>
            </m:r>
          </m:e>
          <m:sub>
            <m:r>
              <m:t>m</m:t>
            </m:r>
          </m:sub>
        </m:sSub>
      </m:oMath>
      <w:r>
        <w:t xml:space="preserve">, where</w:t>
      </w:r>
      <w:r>
        <w:t xml:space="preserve"> </w:t>
      </w:r>
      <m:oMath>
        <m:r>
          <m:t>m</m:t>
        </m:r>
      </m:oMath>
      <w:r>
        <w:t xml:space="preserve"> </w:t>
      </w:r>
      <w:r>
        <w:t xml:space="preserve">indexes the moment of interest (e.g., expected value, variance, etc.). We focus here on expected outcomes (i.e., outcomes based on</w:t>
      </w:r>
      <w:r>
        <w:t xml:space="preserve"> </w:t>
      </w:r>
      <m:oMath>
        <m:sSub>
          <m:e>
            <m:r>
              <m:rPr>
                <m:sty m:val="b"/>
              </m:rPr>
              <m:t>R</m:t>
            </m:r>
          </m:e>
          <m:sub>
            <m:r>
              <m:t>1</m:t>
            </m:r>
          </m:sub>
        </m:sSub>
      </m:oMath>
      <w:r>
        <w:t xml:space="preserve">)—though equations for higher-order moments are available in</w:t>
      </w:r>
      <w:r>
        <w:t xml:space="preserve"> </w:t>
      </w:r>
      <w:r>
        <w:t xml:space="preserve">Caswell and van Daalen (2021)</w:t>
      </w:r>
      <w:r>
        <w:t xml:space="preserve">.</w:t>
      </w:r>
    </w:p>
    <w:bookmarkStart w:id="117" w:name="years-of-life-lived-with-disease-yld"/>
    <w:p>
      <w:pPr>
        <w:pStyle w:val="Heading3"/>
      </w:pPr>
      <w:r>
        <w:t xml:space="preserve">6.1 Years of Life Lived With Disease (YLD)</w:t>
      </w:r>
    </w:p>
    <w:p>
      <w:pPr>
        <w:pStyle w:val="FirstParagraph"/>
      </w:pPr>
      <w:r>
        <w:t xml:space="preserve">To estimate YLDs, we first define a</w:t>
      </w:r>
      <w:r>
        <w:t xml:space="preserve"> </w:t>
      </w:r>
      <m:oMath>
        <m:r>
          <m:t>τ</m:t>
        </m:r>
        <m:r>
          <m:rPr>
            <m:sty m:val="p"/>
          </m:rPr>
          <m:t>×</m:t>
        </m:r>
        <m:r>
          <m:t>ω</m:t>
        </m:r>
      </m:oMath>
      <w:r>
        <w:t xml:space="preserve"> </w:t>
      </w:r>
      <w:r>
        <w:t xml:space="preserve">reward matrix</w:t>
      </w:r>
      <w:r>
        <w:t xml:space="preserve"> </w:t>
      </w:r>
      <m:oMath>
        <m:r>
          <m:rPr>
            <m:sty m:val="b"/>
          </m:rPr>
          <m:t>H</m:t>
        </m:r>
      </m:oMath>
      <w:r>
        <w:t xml:space="preserve">, which has dimensions</w:t>
      </w:r>
      <w:r>
        <w:t xml:space="preserve"> </w:t>
      </w:r>
      <m:oMath>
        <m:r>
          <m:t>τ</m:t>
        </m:r>
        <m:r>
          <m:rPr>
            <m:sty m:val="p"/>
          </m:rPr>
          <m:t>×</m:t>
        </m:r>
        <m:r>
          <m:t>ω</m:t>
        </m:r>
      </m:oMath>
      <w:r>
        <w:t xml:space="preserve"> </w:t>
      </w:r>
      <w:r>
        <w:t xml:space="preserve">and is structured as shown in</w:t>
      </w:r>
      <w:r>
        <w:t xml:space="preserve"> </w:t>
      </w:r>
      <w:hyperlink w:anchor="fig-H-le">
        <w:r>
          <w:rPr>
            <w:rStyle w:val="Hyperlink"/>
          </w:rPr>
          <w:t xml:space="preserve">Figure 4</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11" w:name="fig-H-le"/>
          <w:p>
            <w:pPr>
              <w:pStyle w:val="Compact"/>
              <w:jc w:val="center"/>
            </w:pPr>
            <w:r>
              <w:drawing>
                <wp:inline>
                  <wp:extent cx="2377440" cy="1123880"/>
                  <wp:effectExtent b="0" l="0" r="0" t="0"/>
                  <wp:docPr descr="" title="" id="109" name="Picture"/>
                  <a:graphic>
                    <a:graphicData uri="http://schemas.openxmlformats.org/drawingml/2006/picture">
                      <pic:pic>
                        <pic:nvPicPr>
                          <pic:cNvPr descr="images/H-LE.png" id="110" name="Picture"/>
                          <pic:cNvPicPr>
                            <a:picLocks noChangeArrowheads="1" noChangeAspect="1"/>
                          </pic:cNvPicPr>
                        </pic:nvPicPr>
                        <pic:blipFill>
                          <a:blip r:embed="rId108"/>
                          <a:stretch>
                            <a:fillRect/>
                          </a:stretch>
                        </pic:blipFill>
                        <pic:spPr bwMode="auto">
                          <a:xfrm>
                            <a:off x="0" y="0"/>
                            <a:ext cx="2377440" cy="1123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YLD reward matrix</w:t>
            </w:r>
            <w:r>
              <w:t xml:space="preserve"> </w:t>
            </w:r>
            <m:oMath>
              <m:r>
                <m:rPr>
                  <m:sty m:val="b"/>
                </m:rPr>
                <m:t>H</m:t>
              </m:r>
            </m:oMath>
          </w:p>
          <w:bookmarkEnd w:id="111"/>
        </w:tc>
      </w:tr>
    </w:tbl>
    <w:p>
      <w:pPr>
        <w:pStyle w:val="BodyText"/>
      </w:pPr>
      <w:r>
        <w:t xml:space="preserve">Cell values within this matrix can be set to one if we want to potentially</w:t>
      </w:r>
      <w:r>
        <w:t xml:space="preserve"> </w:t>
      </w:r>
      <w:r>
        <w:t xml:space="preserve">“</w:t>
      </w:r>
      <w:r>
        <w:t xml:space="preserve">reward</w:t>
      </w:r>
      <w:r>
        <w:t xml:space="preserve">”</w:t>
      </w:r>
      <w:r>
        <w:t xml:space="preserve"> </w:t>
      </w:r>
      <w:r>
        <w:t xml:space="preserve">that health state-age combination in our outcome measure, and zero otherwise.</w:t>
      </w:r>
    </w:p>
    <w:p>
      <w:pPr>
        <w:pStyle w:val="BodyText"/>
      </w:pPr>
      <w:r>
        <w:t xml:space="preserve">We use this matrix to define the reward vector</w:t>
      </w:r>
      <w:r>
        <w:t xml:space="preserve"> </w:t>
      </w:r>
      <m:oMath>
        <m:r>
          <m:rPr>
            <m:sty m:val="b"/>
          </m:rPr>
          <m:t>h</m:t>
        </m:r>
      </m:oMath>
      <w:r>
        <w:t xml:space="preserve">, where</w:t>
      </w:r>
      <w:r>
        <w:t xml:space="preserve"> </w:t>
      </w:r>
      <m:oMath>
        <m:r>
          <m:rPr>
            <m:nor/>
            <m:sty m:val="p"/>
          </m:rPr>
          <m:t>vec</m:t>
        </m:r>
      </m:oMath>
      <w:r>
        <w:t xml:space="preserve"> </w:t>
      </w:r>
      <w:r>
        <w:t xml:space="preserve">is an operator that stacks the columns of an</w:t>
      </w:r>
      <w:r>
        <w:t xml:space="preserve"> </w:t>
      </w:r>
      <m:oMath>
        <m:r>
          <m:t>m</m:t>
        </m:r>
        <m:r>
          <m:rPr>
            <m:sty m:val="p"/>
          </m:rPr>
          <m:t>×</m:t>
        </m:r>
        <m:r>
          <m:t>n</m:t>
        </m:r>
      </m:oMath>
      <w:r>
        <w:t xml:space="preserve"> </w:t>
      </w:r>
      <w:r>
        <w:t xml:space="preserve">matrix into a</w:t>
      </w:r>
      <w:r>
        <w:t xml:space="preserve"> </w:t>
      </w:r>
      <m:oMath>
        <m:r>
          <m:t>m</m:t>
        </m:r>
        <m:r>
          <m:t>n</m:t>
        </m:r>
        <m:r>
          <m:rPr>
            <m:sty m:val="p"/>
          </m:rPr>
          <m:t>×</m:t>
        </m:r>
        <m:r>
          <m:t>1</m:t>
        </m:r>
      </m:oMath>
      <w:r>
        <w:t xml:space="preserve"> </w:t>
      </w:r>
      <w:r>
        <w:t xml:space="preserve">vector.</w:t>
      </w:r>
    </w:p>
    <w:p>
      <w:pPr>
        <w:pStyle w:val="BodyText"/>
      </w:pPr>
      <m:oMathPara>
        <m:oMathParaPr>
          <m:jc m:val="center"/>
        </m:oMathParaPr>
        <m:oMath>
          <m:r>
            <m:rPr>
              <m:sty m:val="b"/>
            </m:rPr>
            <m:t>h</m:t>
          </m:r>
          <m:r>
            <m:rPr>
              <m:sty m:val="p"/>
            </m:rPr>
            <m:t>=</m:t>
          </m:r>
          <m:r>
            <m:rPr>
              <m:nor/>
              <m:sty m:val="p"/>
            </m:rPr>
            <m:t>vec </m:t>
          </m:r>
          <m:r>
            <m:rPr>
              <m:sty m:val="b"/>
            </m:rPr>
            <m:t>H</m:t>
          </m:r>
        </m:oMath>
      </m:oMathPara>
    </w:p>
    <w:p>
      <w:pPr>
        <w:pStyle w:val="FirstParagraph"/>
      </w:pPr>
      <w:r>
        <w:t xml:space="preserve">We also define</w:t>
      </w:r>
      <w:r>
        <w:t xml:space="preserve"> </w:t>
      </w:r>
      <m:oMath>
        <m:r>
          <m:rPr>
            <m:sty m:val="p"/>
          </m:rPr>
          <m:t>¬</m:t>
        </m:r>
        <m:r>
          <m:rPr>
            <m:sty m:val="b"/>
          </m:rPr>
          <m:t>h</m:t>
        </m:r>
      </m:oMath>
      <w:r>
        <w:t xml:space="preserve"> </w:t>
      </w:r>
      <w:r>
        <w:t xml:space="preserve">as the complement of</w:t>
      </w:r>
      <w:r>
        <w:t xml:space="preserve"> </w:t>
      </w:r>
      <m:oMath>
        <m:r>
          <m:rPr>
            <m:sty m:val="b"/>
          </m:rPr>
          <m:t>h</m:t>
        </m:r>
      </m:oMath>
      <w:r>
        <w:t xml:space="preserve">, (i.e., values of 1.0 become 0, and vice versa).</w:t>
      </w:r>
    </w:p>
    <w:p>
      <w:pPr>
        <w:pStyle w:val="BodyText"/>
      </w:pPr>
      <w:r>
        <w:t xml:space="preserve">We next define additional matrix</w:t>
      </w:r>
      <w:r>
        <w:t xml:space="preserve"> </w:t>
      </w:r>
      <m:oMath>
        <m:r>
          <m:rPr>
            <m:sty m:val="b"/>
          </m:rPr>
          <m:t>V</m:t>
        </m:r>
      </m:oMath>
      <w:r>
        <w:t xml:space="preserve">, which has the same structure as</w:t>
      </w:r>
      <w:r>
        <w:t xml:space="preserve"> </w:t>
      </w:r>
      <m:oMath>
        <m:r>
          <m:rPr>
            <m:sty m:val="b"/>
          </m:rPr>
          <m:t>H</m:t>
        </m:r>
      </m:oMath>
      <w:r>
        <w:t xml:space="preserve"> </w:t>
      </w:r>
      <w:r>
        <w:t xml:space="preserve">but includes the (fully discounted) disability weights:</w:t>
      </w:r>
    </w:p>
    <w:tbl>
      <w:tblPr>
        <w:tblStyle w:val="Table"/>
        <w:tblW w:type="pct" w:w="5000"/>
        <w:tblLook w:firstRow="0" w:lastRow="0" w:firstColumn="0" w:lastColumn="0" w:noHBand="0" w:noVBand="0" w:val="0000"/>
        <w:jc w:val="start"/>
        <w:tblLayout w:type="fixed"/>
      </w:tblPr>
      <w:tblGrid>
        <w:gridCol w:w="7920"/>
      </w:tblGrid>
      <w:tr>
        <w:tc>
          <w:tcPr/>
          <w:bookmarkStart w:id="115" w:name="fig-H-yld"/>
          <w:p>
            <w:pPr>
              <w:pStyle w:val="Compact"/>
              <w:jc w:val="center"/>
            </w:pPr>
            <w:r>
              <w:drawing>
                <wp:inline>
                  <wp:extent cx="3566160" cy="977752"/>
                  <wp:effectExtent b="0" l="0" r="0" t="0"/>
                  <wp:docPr descr="" title="" id="113" name="Picture"/>
                  <a:graphic>
                    <a:graphicData uri="http://schemas.openxmlformats.org/drawingml/2006/picture">
                      <pic:pic>
                        <pic:nvPicPr>
                          <pic:cNvPr descr="images/H-YLD.png" id="114" name="Picture"/>
                          <pic:cNvPicPr>
                            <a:picLocks noChangeArrowheads="1" noChangeAspect="1"/>
                          </pic:cNvPicPr>
                        </pic:nvPicPr>
                        <pic:blipFill>
                          <a:blip r:embed="rId112"/>
                          <a:stretch>
                            <a:fillRect/>
                          </a:stretch>
                        </pic:blipFill>
                        <pic:spPr bwMode="auto">
                          <a:xfrm>
                            <a:off x="0" y="0"/>
                            <a:ext cx="3566160" cy="977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YLD reward matrix</w:t>
            </w:r>
            <w:r>
              <w:t xml:space="preserve"> </w:t>
            </w:r>
            <m:oMath>
              <m:r>
                <m:rPr>
                  <m:sty m:val="b"/>
                </m:rPr>
                <m:t>V</m:t>
              </m:r>
            </m:oMath>
          </w:p>
          <w:bookmarkEnd w:id="115"/>
        </w:tc>
      </w:tr>
    </w:tbl>
    <w:p>
      <w:pPr>
        <w:pStyle w:val="BodyText"/>
      </w:pPr>
      <w:r>
        <w:t xml:space="preserve">where</w:t>
      </w:r>
      <w:r>
        <w:t xml:space="preserve"> </w:t>
      </w:r>
      <m:oMath>
        <m:r>
          <m:rPr>
            <m:nor/>
            <m:sty m:val="p"/>
            <m:scr m:val="monospace"/>
          </m:rPr>
          <m:t>dwS1</m:t>
        </m:r>
        <m:r>
          <m:rPr>
            <m:sty m:val="p"/>
          </m:rPr>
          <m:t>*</m:t>
        </m:r>
        <m:r>
          <m:rPr>
            <m:sty m:val="p"/>
          </m:rPr>
          <m:t>=</m:t>
        </m:r>
        <m:r>
          <m:rPr>
            <m:nor/>
            <m:sty m:val="p"/>
            <m:scr m:val="monospace"/>
          </m:rPr>
          <m:t>dwS1</m:t>
        </m:r>
        <m:r>
          <m:rPr>
            <m:sty m:val="p"/>
          </m:rPr>
          <m:t>×</m:t>
        </m:r>
        <m:sSub>
          <m:e>
            <m:r>
              <m:t>Δ</m:t>
            </m:r>
          </m:e>
          <m:sub>
            <m:r>
              <m:t>t</m:t>
            </m:r>
          </m:sub>
        </m:sSub>
        <m:r>
          <m:rPr>
            <m:sty m:val="p"/>
          </m:rPr>
          <m:t>×</m:t>
        </m:r>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r>
          <m:rPr>
            <m:sty m:val="p"/>
          </m:rPr>
          <m:t>×</m:t>
        </m:r>
        <m:sSup>
          <m:e>
            <m:r>
              <m:t>e</m:t>
            </m:r>
          </m:e>
          <m:sup>
            <m:r>
              <m:rPr>
                <m:sty m:val="p"/>
              </m:rPr>
              <m:t>−</m:t>
            </m:r>
            <m:sSub>
              <m:e>
                <m:r>
                  <m:t>r</m:t>
                </m:r>
              </m:e>
              <m:sub>
                <m:sSub>
                  <m:e>
                    <m:r>
                      <m:t>Δ</m:t>
                    </m:r>
                  </m:e>
                  <m:sub>
                    <m:r>
                      <m:t>t</m:t>
                    </m:r>
                  </m:sub>
                </m:sSub>
              </m:sub>
            </m:sSub>
            <m:r>
              <m:t>t</m:t>
            </m:r>
          </m:sup>
        </m:sSup>
      </m:oMath>
      <w:r>
        <w:t xml:space="preserve">, etc. This equation first converts the weights into the appropriate value for the time step, applies the cycle-specific discounting adjustment factor, and then discounts the resulting value to the baseline period.</w:t>
      </w:r>
    </w:p>
    <w:p>
      <w:pPr>
        <w:pStyle w:val="BodyText"/>
      </w:pPr>
      <w:r>
        <w:t xml:space="preserve">We similarly define an occupancy indicator vector</w:t>
      </w:r>
      <w:r>
        <w:t xml:space="preserve"> </w:t>
      </w:r>
      <m:oMath>
        <m:r>
          <m:rPr>
            <m:sty m:val="b"/>
          </m:rPr>
          <m:t>v</m:t>
        </m:r>
      </m:oMath>
      <w:r>
        <w:t xml:space="preserve"> </w:t>
      </w:r>
      <w:r>
        <w:t xml:space="preserve">just as we did for</w:t>
      </w:r>
      <w:r>
        <w:t xml:space="preserve"> </w:t>
      </w:r>
      <m:oMath>
        <m:r>
          <m:rPr>
            <m:sty m:val="b"/>
          </m:rPr>
          <m:t>h</m:t>
        </m:r>
      </m:oMath>
      <w:r>
        <w:t xml:space="preserve">:</w:t>
      </w:r>
    </w:p>
    <w:p>
      <w:pPr>
        <w:pStyle w:val="BodyText"/>
      </w:pPr>
      <m:oMathPara>
        <m:oMathParaPr>
          <m:jc m:val="center"/>
        </m:oMathParaPr>
        <m:oMath>
          <m:r>
            <m:rPr>
              <m:sty m:val="b"/>
            </m:rPr>
            <m:t>v</m:t>
          </m:r>
          <m:r>
            <m:rPr>
              <m:sty m:val="p"/>
            </m:rPr>
            <m:t>=</m:t>
          </m:r>
          <m:r>
            <m:rPr>
              <m:sty m:val="p"/>
            </m:rPr>
            <m:t>vec</m:t>
          </m:r>
          <m:r>
            <m:rPr>
              <m:sty m:val="b"/>
            </m:rPr>
            <m:t>V</m:t>
          </m:r>
        </m:oMath>
      </m:oMathPara>
    </w:p>
    <w:bookmarkStart w:id="116" w:name="partial-occupancy"/>
    <w:p>
      <w:pPr>
        <w:pStyle w:val="Heading4"/>
      </w:pPr>
      <w:r>
        <w:t xml:space="preserve">6.1.1 Partial Occupancy</w:t>
      </w:r>
    </w:p>
    <w:p>
      <w:pPr>
        <w:pStyle w:val="FirstParagraph"/>
      </w:pPr>
      <w:r>
        <w:t xml:space="preserve">Because we are modeling a continuous-time disease progression progress in discrete time, it is useful to make corrections for partial occupancy in a cycle. Similar to a half-cycle correction often used in health economic applications, the Markov chain with rewards approach does so by assuming transitions occur half-way through a cycle; the application of this assumption is slightly different, however, because the correction applies in every cycle, not just the first and last. We operationalize this assumption by defining,</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r>
                  <m:rPr>
                    <m:sty m:val="b"/>
                  </m:rPr>
                  <m:t>h</m:t>
                </m:r>
                <m:sSubSup>
                  <m:e>
                    <m:r>
                      <m:rPr>
                        <m:sty m:val="b"/>
                      </m:rPr>
                      <m:t>v</m:t>
                    </m:r>
                  </m:e>
                  <m:sub>
                    <m:r>
                      <m:t>1</m:t>
                    </m:r>
                  </m:sub>
                  <m:sup>
                    <m:r>
                      <m:rPr>
                        <m:sty m:val="p"/>
                      </m:rPr>
                      <m:t>⊤</m:t>
                    </m:r>
                  </m:sup>
                </m:sSubSup>
                <m:r>
                  <m:rPr>
                    <m:sty m:val="p"/>
                  </m:rPr>
                  <m:t>+</m:t>
                </m:r>
                <m:f>
                  <m:fPr>
                    <m:type m:val="bar"/>
                  </m:fPr>
                  <m:num>
                    <m:r>
                      <m:t>1</m:t>
                    </m:r>
                  </m:num>
                  <m:den>
                    <m:r>
                      <m:t>2</m:t>
                    </m:r>
                  </m:den>
                </m:f>
                <m:d>
                  <m:dPr>
                    <m:begChr m:val="("/>
                    <m:endChr m:val=")"/>
                    <m:sepChr m:val=""/>
                    <m:grow/>
                  </m:dPr>
                  <m:e>
                    <m:r>
                      <m:rPr>
                        <m:sty m:val="p"/>
                      </m:rPr>
                      <m:t>¬</m:t>
                    </m:r>
                    <m:r>
                      <m:rPr>
                        <m:sty m:val="b"/>
                      </m:rPr>
                      <m:t>h</m:t>
                    </m:r>
                  </m:e>
                </m:d>
                <m:d>
                  <m:dPr>
                    <m:begChr m:val="("/>
                    <m:endChr m:val=")"/>
                    <m:sepChr m:val=""/>
                    <m:grow/>
                  </m:dPr>
                  <m:e>
                    <m:sSubSup>
                      <m:e>
                        <m:r>
                          <m:rPr>
                            <m:sty m:val="b"/>
                          </m:rPr>
                          <m:t>v</m:t>
                        </m:r>
                      </m:e>
                      <m:sub>
                        <m:r>
                          <m:t>1</m:t>
                        </m:r>
                      </m:sub>
                      <m:sup>
                        <m:r>
                          <m:rPr>
                            <m:sty m:val="p"/>
                          </m:rPr>
                          <m:t>⊤</m:t>
                        </m:r>
                      </m:sup>
                    </m:sSubSup>
                  </m:e>
                </m:d>
                <m:r>
                  <m:rPr>
                    <m:sty m:val="p"/>
                  </m:rPr>
                  <m:t>+</m:t>
                </m:r>
                <m:f>
                  <m:fPr>
                    <m:type m:val="bar"/>
                  </m:fPr>
                  <m:num>
                    <m:r>
                      <m:t>1</m:t>
                    </m:r>
                  </m:num>
                  <m:den>
                    <m:r>
                      <m:t>2</m:t>
                    </m:r>
                  </m:den>
                </m:f>
                <m:d>
                  <m:dPr>
                    <m:begChr m:val="("/>
                    <m:endChr m:val=")"/>
                    <m:sepChr m:val=""/>
                    <m:grow/>
                  </m:dPr>
                  <m:e>
                    <m:sSub>
                      <m:e>
                        <m:r>
                          <m:rPr>
                            <m:sty m:val="b"/>
                          </m:rPr>
                          <m:t>v</m:t>
                        </m:r>
                      </m:e>
                      <m:sub>
                        <m:r>
                          <m:t>1</m:t>
                        </m:r>
                      </m:sub>
                    </m:sSub>
                  </m:e>
                </m:d>
                <m:d>
                  <m:dPr>
                    <m:begChr m:val="("/>
                    <m:endChr m:val=")"/>
                    <m:sepChr m:val=""/>
                    <m:grow/>
                  </m:dPr>
                  <m:e>
                    <m:r>
                      <m:rPr>
                        <m:sty m:val="p"/>
                      </m:rPr>
                      <m:t>¬</m:t>
                    </m:r>
                    <m:sSup>
                      <m:e>
                        <m:r>
                          <m:rPr>
                            <m:sty m:val="b"/>
                          </m:rPr>
                          <m:t>h</m:t>
                        </m:r>
                      </m:e>
                      <m:sup>
                        <m:r>
                          <m:rPr>
                            <m:sty m:val="p"/>
                          </m:rPr>
                          <m:t>⊤</m:t>
                        </m:r>
                      </m:sup>
                    </m:sSup>
                  </m:e>
                </m:d>
              </m:e>
            </m:mr>
            <m:mr>
              <m:e/>
            </m:mr>
          </m:m>
        </m:oMath>
      </m:oMathPara>
    </w:p>
    <w:p>
      <w:pPr>
        <w:pStyle w:val="FirstParagraph"/>
      </w:pPr>
      <w:r>
        <w:t xml:space="preserve">and</w:t>
      </w:r>
    </w:p>
    <w:p>
      <w:pPr>
        <w:pStyle w:val="BodyText"/>
      </w:pPr>
      <m:oMathPara>
        <m:oMathParaPr>
          <m:jc m:val="center"/>
        </m:oMathParaPr>
        <m:oMath>
          <m:sSub>
            <m:e>
              <m:acc>
                <m:accPr>
                  <m:chr m:val="̃"/>
                </m:accPr>
                <m:e>
                  <m:r>
                    <m:rPr>
                      <m:sty m:val="b"/>
                    </m:rPr>
                    <m:t>C</m:t>
                  </m:r>
                </m:e>
              </m:acc>
            </m:e>
            <m:sub>
              <m:r>
                <m:t>1</m:t>
              </m:r>
            </m:sub>
          </m:sSub>
          <m:r>
            <m:rPr>
              <m:sty m:val="p"/>
            </m:rPr>
            <m:t>=</m:t>
          </m:r>
          <m:f>
            <m:fPr>
              <m:type m:val="bar"/>
            </m:fPr>
            <m:num>
              <m:r>
                <m:t>1</m:t>
              </m:r>
            </m:num>
            <m:den>
              <m:r>
                <m:t>2</m:t>
              </m:r>
            </m:den>
          </m:f>
          <m:sSub>
            <m:e>
              <m:r>
                <m:rPr>
                  <m:sty m:val="b"/>
                </m:rPr>
                <m:t>1</m:t>
              </m:r>
            </m:e>
            <m:sub>
              <m:r>
                <m:t>α</m:t>
              </m:r>
            </m:sub>
          </m:sSub>
          <m:sSup>
            <m:e>
              <m:sSub>
                <m:e>
                  <m:r>
                    <m:rPr>
                      <m:sty m:val="b"/>
                    </m:rPr>
                    <m:t>v</m:t>
                  </m:r>
                </m:e>
                <m:sub>
                  <m:r>
                    <m:rPr>
                      <m:sty m:val="b"/>
                    </m:rPr>
                    <m:t>1</m:t>
                  </m:r>
                </m:sub>
              </m:sSub>
            </m:e>
            <m:sup>
              <m:r>
                <m:rPr>
                  <m:sty m:val="p"/>
                </m:rPr>
                <m:t>⊤</m:t>
              </m:r>
            </m:sup>
          </m:sSup>
        </m:oMath>
      </m:oMathPara>
    </w:p>
    <w:p>
      <w:pPr>
        <w:pStyle w:val="FirstParagraph"/>
      </w:pPr>
      <w:r>
        <w:t xml:space="preserve">where</w:t>
      </w:r>
      <w:r>
        <w:t xml:space="preserve"> </w:t>
      </w:r>
      <m:oMath>
        <m:sSub>
          <m:e>
            <m:r>
              <m:rPr>
                <m:sty m:val="b"/>
              </m:rPr>
              <m:t>1</m:t>
            </m:r>
          </m:e>
          <m:sub>
            <m:r>
              <m:t>α</m:t>
            </m:r>
          </m:sub>
        </m:sSub>
      </m:oMath>
      <w:r>
        <w:t xml:space="preserve"> </w:t>
      </w:r>
      <w:r>
        <w:t xml:space="preserve">is a vector of ones with length</w:t>
      </w:r>
      <w:r>
        <w:t xml:space="preserve"> </w:t>
      </w:r>
      <m:oMath>
        <m:r>
          <m:t>α</m:t>
        </m:r>
      </m:oMath>
      <w:r>
        <w:t xml:space="preserve">.</w:t>
      </w:r>
    </w:p>
    <w:p>
      <w:pPr>
        <w:pStyle w:val="BodyText"/>
      </w:pPr>
      <w:r>
        <w:t xml:space="preserve">We combine</w:t>
      </w:r>
      <w:r>
        <w:t xml:space="preserve"> </w:t>
      </w:r>
      <m:oMath>
        <m:sSub>
          <m:e>
            <m:acc>
              <m:accPr>
                <m:chr m:val="̃"/>
              </m:accPr>
              <m:e>
                <m:r>
                  <m:rPr>
                    <m:sty m:val="b"/>
                  </m:rPr>
                  <m:t>B</m:t>
                </m:r>
              </m:e>
            </m:acc>
          </m:e>
          <m:sub>
            <m:r>
              <m:t>1</m:t>
            </m:r>
          </m:sub>
        </m:sSub>
      </m:oMath>
      <w:r>
        <w:t xml:space="preserve"> </w:t>
      </w:r>
      <w:r>
        <w:t xml:space="preserve">and</w:t>
      </w:r>
      <w:r>
        <w:t xml:space="preserve"> </w:t>
      </w:r>
      <m:oMath>
        <m:sSub>
          <m:e>
            <m:acc>
              <m:accPr>
                <m:chr m:val="̃"/>
              </m:accPr>
              <m:e>
                <m:r>
                  <m:rPr>
                    <m:sty m:val="b"/>
                  </m:rPr>
                  <m:t>C</m:t>
                </m:r>
              </m:e>
            </m:acc>
          </m:e>
          <m:sub>
            <m:r>
              <m:t>1</m:t>
            </m:r>
          </m:sub>
        </m:sSub>
      </m:oMath>
      <w:r>
        <w:t xml:space="preserve"> </w:t>
      </w:r>
      <w:r>
        <w:t xml:space="preserve">to obtain the final reward matrix for expected YLD outcomes,</w:t>
      </w:r>
    </w:p>
    <w:p>
      <w:pPr>
        <w:pStyle w:val="BodyText"/>
      </w:pPr>
      <m:oMathPara>
        <m:oMathParaPr>
          <m:jc m:val="center"/>
        </m:oMathParaPr>
        <m:oMath>
          <m:sSubSup>
            <m:e>
              <m:acc>
                <m:accPr>
                  <m:chr m:val="̃"/>
                </m:accPr>
                <m:e>
                  <m:r>
                    <m:rPr>
                      <m:sty m:val="b"/>
                    </m:rPr>
                    <m:t>R</m:t>
                  </m:r>
                </m:e>
              </m:acc>
            </m:e>
            <m:sub>
              <m:r>
                <m:t>1</m:t>
              </m:r>
            </m:sub>
            <m:sup>
              <m:r>
                <m:t>Y</m:t>
              </m:r>
              <m:r>
                <m:t>L</m:t>
              </m:r>
              <m:r>
                <m:t>D</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acc>
                          <m:accPr>
                            <m:chr m:val="̃"/>
                          </m:accPr>
                          <m:e>
                            <m:r>
                              <m:rPr>
                                <m:sty m:val="b"/>
                              </m:rPr>
                              <m:t>B</m:t>
                            </m:r>
                          </m:e>
                        </m:acc>
                      </m:e>
                      <m:sub>
                        <m:r>
                          <m:t>1</m:t>
                        </m:r>
                      </m:sub>
                    </m:sSub>
                  </m:e>
                  <m:e>
                    <m:r>
                      <m:rPr>
                        <m:sty m:val="b"/>
                      </m:rPr>
                      <m:t>0</m:t>
                    </m:r>
                  </m:e>
                </m:mr>
                <m:mr>
                  <m:e>
                    <m:sSub>
                      <m:e>
                        <m:acc>
                          <m:accPr>
                            <m:chr m:val="̃"/>
                          </m:accPr>
                          <m:e>
                            <m:r>
                              <m:rPr>
                                <m:sty m:val="b"/>
                              </m:rPr>
                              <m:t>C</m:t>
                            </m:r>
                          </m:e>
                        </m:acc>
                      </m:e>
                      <m:sub>
                        <m:r>
                          <m:t>1</m:t>
                        </m:r>
                      </m:sub>
                    </m:sSub>
                  </m:e>
                  <m:e>
                    <m:r>
                      <m:rPr>
                        <m:sty m:val="b"/>
                      </m:rPr>
                      <m:t>0</m:t>
                    </m:r>
                  </m:e>
                </m:mr>
              </m:m>
            </m:e>
          </m:d>
        </m:oMath>
      </m:oMathPara>
    </w:p>
    <w:p>
      <w:pPr>
        <w:pStyle w:val="FirstParagraph"/>
      </w:pPr>
      <w:r>
        <w:t xml:space="preserve">which has same block structure and dimensions as the transition probability matrix</w:t>
      </w:r>
      <w:r>
        <w:t xml:space="preserve"> </w:t>
      </w:r>
      <m:oMath>
        <m:acc>
          <m:accPr>
            <m:chr m:val="̃"/>
          </m:accPr>
          <m:e>
            <m:r>
              <m:rPr>
                <m:sty m:val="b"/>
              </m:rPr>
              <m:t>P</m:t>
            </m:r>
          </m:e>
        </m:acc>
      </m:oMath>
      <w:r>
        <w:t xml:space="preserve"> </w:t>
      </w:r>
      <w:r>
        <w:t xml:space="preserve">(</w:t>
      </w:r>
      <w:hyperlink w:anchor="eq-Ptilde">
        <w:r>
          <w:rPr>
            <w:rStyle w:val="Hyperlink"/>
          </w:rPr>
          <w:t xml:space="preserve">Equation 14</w:t>
        </w:r>
      </w:hyperlink>
      <w:r>
        <w:t xml:space="preserve">). We explain how to use this matrix to estimate expected YLDs in</w:t>
      </w:r>
      <w:r>
        <w:t xml:space="preserve"> </w:t>
      </w:r>
      <w:hyperlink w:anchor="sec-expected">
        <w:r>
          <w:rPr>
            <w:rStyle w:val="Hyperlink"/>
          </w:rPr>
          <w:t xml:space="preserve">Section 6.3</w:t>
        </w:r>
      </w:hyperlink>
      <w:r>
        <w:t xml:space="preserve"> </w:t>
      </w:r>
      <w:r>
        <w:t xml:space="preserve">below.</w:t>
      </w:r>
    </w:p>
    <w:bookmarkEnd w:id="116"/>
    <w:bookmarkEnd w:id="117"/>
    <w:bookmarkStart w:id="118" w:name="years-of-life-lost-to-disease-yll"/>
    <w:p>
      <w:pPr>
        <w:pStyle w:val="Heading3"/>
      </w:pPr>
      <w:r>
        <w:t xml:space="preserve">6.2 Years of Life Lost to Disease (YLL)</w:t>
      </w:r>
    </w:p>
    <w:p>
      <w:pPr>
        <w:pStyle w:val="FirstParagraph"/>
      </w:pPr>
      <w:r>
        <w:t xml:space="preserve">For transition-based outcomes such as YLLs, we define the first moment of remaining life expectancy as the vector</w:t>
      </w:r>
      <w:r>
        <w:t xml:space="preserve"> </w:t>
      </w:r>
      <m:oMath>
        <m:sSup>
          <m:e>
            <m:acc>
              <m:accPr>
                <m:chr m:val="̃"/>
              </m:accPr>
              <m:e>
                <m:r>
                  <m:rPr>
                    <m:sty m:val="b"/>
                  </m:rPr>
                  <m:t>η</m:t>
                </m:r>
              </m:e>
            </m:acc>
          </m:e>
          <m:sup>
            <m:r>
              <m:rPr>
                <m:sty m:val="p"/>
              </m:rPr>
              <m:t>⊤</m:t>
            </m:r>
          </m:sup>
        </m:sSup>
      </m:oMath>
      <w:r>
        <w:t xml:space="preserve">. This vector has dimensions</w:t>
      </w:r>
      <w:r>
        <w:t xml:space="preserve"> </w:t>
      </w:r>
      <m:oMath>
        <m:r>
          <m:t>τ</m:t>
        </m:r>
        <m:r>
          <m:t>ω</m:t>
        </m:r>
        <m:r>
          <m:rPr>
            <m:sty m:val="p"/>
          </m:rPr>
          <m:t>×</m:t>
        </m:r>
        <m:r>
          <m:t>1</m:t>
        </m:r>
      </m:oMath>
      <w:r>
        <w:t xml:space="preserve"> </w:t>
      </w:r>
      <w:r>
        <w:t xml:space="preserve">and has the following basic structure:</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11</m:t>
                        </m:r>
                      </m:sub>
                    </m:sSub>
                  </m:e>
                </m:mr>
                <m:mr>
                  <m:e>
                    <m:r>
                      <m:rPr>
                        <m:sty m:val="p"/>
                      </m:rPr>
                      <m:t>⋮</m:t>
                    </m:r>
                  </m:e>
                </m:mr>
                <m:mr>
                  <m:e>
                    <m:sSub>
                      <m:e>
                        <m:r>
                          <m:t>η</m:t>
                        </m:r>
                      </m:e>
                      <m:sub>
                        <m:r>
                          <m:t>τ</m:t>
                        </m:r>
                        <m:r>
                          <m:t>1</m:t>
                        </m:r>
                      </m:sub>
                    </m:sSub>
                  </m:e>
                </m:mr>
                <m:mr>
                  <m:e>
                    <m:r>
                      <m:rPr>
                        <m:sty m:val="p"/>
                      </m:rPr>
                      <m:t>⋮</m:t>
                    </m:r>
                  </m:e>
                </m:mr>
                <m:mr>
                  <m:e>
                    <m:sSub>
                      <m:e>
                        <m:r>
                          <m:t>η</m:t>
                        </m:r>
                      </m:e>
                      <m:sub>
                        <m:r>
                          <m:t>1</m:t>
                        </m:r>
                        <m:r>
                          <m:t>ω</m:t>
                        </m:r>
                      </m:sub>
                    </m:sSub>
                  </m:e>
                </m:mr>
                <m:mr>
                  <m:e>
                    <m:r>
                      <m:rPr>
                        <m:sty m:val="p"/>
                      </m:rPr>
                      <m:t>⋮</m:t>
                    </m:r>
                  </m:e>
                </m:mr>
                <m:mr>
                  <m:e>
                    <m:sSub>
                      <m:e>
                        <m:r>
                          <m:t>η</m:t>
                        </m:r>
                      </m:e>
                      <m:sub>
                        <m:r>
                          <m:t>τ</m:t>
                        </m:r>
                        <m:r>
                          <m:t>ω</m:t>
                        </m:r>
                      </m:sub>
                    </m:sSub>
                  </m:e>
                </m:mr>
              </m:m>
            </m:e>
          </m:d>
        </m:oMath>
      </m:oMathPara>
    </w:p>
    <w:p>
      <w:pPr>
        <w:pStyle w:val="FirstParagraph"/>
      </w:pPr>
      <w:r>
        <w:t xml:space="preserve">where</w:t>
      </w:r>
      <w:r>
        <w:t xml:space="preserve"> </w:t>
      </w:r>
      <m:oMath>
        <m:sSub>
          <m:e>
            <m:r>
              <m:t>η</m:t>
            </m:r>
          </m:e>
          <m:sub>
            <m:r>
              <m:t>i</m:t>
            </m:r>
            <m:r>
              <m:t>x</m:t>
            </m:r>
          </m:sub>
        </m:sSub>
      </m:oMath>
      <w:r>
        <w:t xml:space="preserve"> </w:t>
      </w:r>
      <w:r>
        <w:t xml:space="preserve">is remaining life expectancy for an individual in health state</w:t>
      </w:r>
      <w:r>
        <w:t xml:space="preserve"> </w:t>
      </w:r>
      <m:oMath>
        <m:r>
          <m:t>i</m:t>
        </m:r>
      </m:oMath>
      <w:r>
        <w:t xml:space="preserve"> </w:t>
      </w:r>
      <w:r>
        <w:t xml:space="preserve">at a given age</w:t>
      </w:r>
      <w:r>
        <w:t xml:space="preserve"> </w:t>
      </w:r>
      <m:oMath>
        <m:r>
          <m:t>x</m:t>
        </m:r>
      </m:oMath>
      <w:r>
        <w:t xml:space="preserve">. In this structure, remaining life expectancy for each health state is grouped within age classes. Remaining life expectancy should also enter</w:t>
      </w:r>
      <w:r>
        <w:t xml:space="preserve"> </w:t>
      </w:r>
      <m:oMath>
        <m:sSub>
          <m:e>
            <m:r>
              <m:t>η</m:t>
            </m:r>
          </m:e>
          <m:sub>
            <m:r>
              <m:t>i</m:t>
            </m:r>
            <m:r>
              <m:t>x</m:t>
            </m:r>
          </m:sub>
        </m:sSub>
      </m:oMath>
      <w:r>
        <w:t xml:space="preserve"> </w:t>
      </w:r>
      <w:r>
        <w:t xml:space="preserve">as fully discounted back to</w:t>
      </w:r>
      <w:r>
        <w:t xml:space="preserve"> </w:t>
      </w:r>
      <m:oMath>
        <m:r>
          <m:t>t</m:t>
        </m:r>
        <m:r>
          <m:rPr>
            <m:sty m:val="p"/>
          </m:rPr>
          <m:t>=</m:t>
        </m:r>
        <m:r>
          <m:t>0</m:t>
        </m:r>
      </m:oMath>
      <w:r>
        <w:t xml:space="preserve">.</w:t>
      </w:r>
    </w:p>
    <w:p>
      <w:pPr>
        <w:pStyle w:val="BodyText"/>
      </w:pPr>
      <w:r>
        <w:t xml:space="preserve">Our model, for example, follows a cohort of 25 year old adults until death. The GBD reference life expectancy value for a 25 year old is 64.15, and the life expectancy for the last age class (95+) is 5.92. There are also</w:t>
      </w:r>
      <w:r>
        <w:t xml:space="preserve"> </w:t>
      </w:r>
      <m:oMath>
        <m:r>
          <m:t>τ</m:t>
        </m:r>
        <m:r>
          <m:rPr>
            <m:sty m:val="p"/>
          </m:rPr>
          <m:t>=</m:t>
        </m:r>
        <m:r>
          <m:t>3</m:t>
        </m:r>
      </m:oMath>
      <w:r>
        <w:t xml:space="preserve"> </w:t>
      </w:r>
      <w:r>
        <w:t xml:space="preserve">non-absorbing health states. If we followed the cohort until age 95,</w:t>
      </w:r>
      <w:r>
        <w:t xml:space="preserve"> </w:t>
      </w:r>
      <m:oMath>
        <m:sSub>
          <m:e>
            <m:r>
              <m:t>η</m:t>
            </m:r>
          </m:e>
          <m:sub>
            <m:r>
              <m:t>i</m:t>
            </m:r>
            <m:r>
              <m:t>x</m:t>
            </m:r>
          </m:sub>
        </m:sSub>
      </m:oMath>
      <w:r>
        <w:t xml:space="preserve"> </w:t>
      </w:r>
      <w:r>
        <w:t xml:space="preserve">would take the following form:</w:t>
      </w:r>
    </w:p>
    <w:p>
      <w:pPr>
        <w:pStyle w:val="BodyText"/>
      </w:pPr>
      <m:oMathPara>
        <m:oMathParaPr>
          <m:jc m:val="center"/>
        </m:oMathParaPr>
        <m:oMath>
          <m:acc>
            <m:accPr>
              <m:chr m:val="̃"/>
            </m:accPr>
            <m:e>
              <m:r>
                <m:rPr>
                  <m:sty m:val="b"/>
                </m:rPr>
                <m:t>η</m:t>
              </m:r>
            </m:e>
          </m:acc>
          <m:r>
            <m:rPr>
              <m:sty m:val="p"/>
            </m:rPr>
            <m:t>=</m:t>
          </m:r>
          <m:d>
            <m:dPr>
              <m:begChr m:val="("/>
              <m:endChr m:val=")"/>
              <m:sepChr m:val=""/>
              <m:grow/>
            </m:dPr>
            <m:e>
              <m:m>
                <m:mPr>
                  <m:baseJc m:val="center"/>
                  <m:plcHide m:val="on"/>
                  <m:mcs>
                    <m:mc>
                      <m:mcPr>
                        <m:mcJc m:val="center"/>
                        <m:count m:val="1"/>
                      </m:mcPr>
                    </m:mc>
                  </m:mcs>
                </m:mPr>
                <m:mr>
                  <m:e>
                    <m:sSub>
                      <m:e>
                        <m:r>
                          <m:t>η</m:t>
                        </m:r>
                      </m:e>
                      <m:sub>
                        <m:r>
                          <m:t>H</m:t>
                        </m:r>
                        <m:r>
                          <m:rPr>
                            <m:sty m:val="p"/>
                          </m:rPr>
                          <m:t>,</m:t>
                        </m:r>
                        <m:r>
                          <m:t>25</m:t>
                        </m:r>
                      </m:sub>
                    </m:sSub>
                    <m:r>
                      <m:rPr>
                        <m:sty m:val="p"/>
                      </m:rPr>
                      <m:t>=</m:t>
                    </m:r>
                    <m:r>
                      <m:t>64.15</m:t>
                    </m:r>
                  </m:e>
                </m:mr>
                <m:mr>
                  <m:e>
                    <m:sSub>
                      <m:e>
                        <m:r>
                          <m:t>η</m:t>
                        </m:r>
                      </m:e>
                      <m:sub>
                        <m:r>
                          <m:t>S</m:t>
                        </m:r>
                        <m:r>
                          <m:t>1</m:t>
                        </m:r>
                        <m:r>
                          <m:rPr>
                            <m:sty m:val="p"/>
                          </m:rPr>
                          <m:t>,</m:t>
                        </m:r>
                        <m:r>
                          <m:t>25</m:t>
                        </m:r>
                      </m:sub>
                    </m:sSub>
                    <m:r>
                      <m:rPr>
                        <m:sty m:val="p"/>
                      </m:rPr>
                      <m:t>=</m:t>
                    </m:r>
                    <m:r>
                      <m:t>64.15</m:t>
                    </m:r>
                  </m:e>
                </m:mr>
                <m:mr>
                  <m:e>
                    <m:sSub>
                      <m:e>
                        <m:r>
                          <m:t>η</m:t>
                        </m:r>
                      </m:e>
                      <m:sub>
                        <m:r>
                          <m:t>S</m:t>
                        </m:r>
                        <m:r>
                          <m:t>2</m:t>
                        </m:r>
                        <m:r>
                          <m:rPr>
                            <m:sty m:val="p"/>
                          </m:rPr>
                          <m:t>,</m:t>
                        </m:r>
                        <m:r>
                          <m:t>25</m:t>
                        </m:r>
                      </m:sub>
                    </m:sSub>
                    <m:r>
                      <m:rPr>
                        <m:sty m:val="p"/>
                      </m:rPr>
                      <m:t>=</m:t>
                    </m:r>
                    <m:r>
                      <m:t>64.15</m:t>
                    </m:r>
                  </m:e>
                </m:mr>
                <m:mr>
                  <m:e>
                    <m:r>
                      <m:rPr>
                        <m:sty m:val="p"/>
                      </m:rPr>
                      <m:t>⋮</m:t>
                    </m:r>
                  </m:e>
                </m:mr>
                <m:mr>
                  <m:e>
                    <m:sSub>
                      <m:e>
                        <m:r>
                          <m:t>η</m:t>
                        </m:r>
                      </m:e>
                      <m:sub>
                        <m:r>
                          <m:t>H</m:t>
                        </m:r>
                        <m:r>
                          <m:rPr>
                            <m:sty m:val="p"/>
                          </m:rPr>
                          <m:t>,</m:t>
                        </m:r>
                        <m:r>
                          <m:t>95</m:t>
                        </m:r>
                      </m:sub>
                    </m:sSub>
                    <m:r>
                      <m:rPr>
                        <m:sty m:val="p"/>
                      </m:rPr>
                      <m:t>=</m:t>
                    </m:r>
                    <m:r>
                      <m:t>5.92</m:t>
                    </m:r>
                  </m:e>
                </m:mr>
                <m:mr>
                  <m:e>
                    <m:sSub>
                      <m:e>
                        <m:r>
                          <m:t>η</m:t>
                        </m:r>
                      </m:e>
                      <m:sub>
                        <m:r>
                          <m:t>S</m:t>
                        </m:r>
                        <m:r>
                          <m:t>1</m:t>
                        </m:r>
                        <m:r>
                          <m:rPr>
                            <m:sty m:val="p"/>
                          </m:rPr>
                          <m:t>,</m:t>
                        </m:r>
                        <m:r>
                          <m:t>95</m:t>
                        </m:r>
                      </m:sub>
                    </m:sSub>
                    <m:r>
                      <m:rPr>
                        <m:sty m:val="p"/>
                      </m:rPr>
                      <m:t>=</m:t>
                    </m:r>
                    <m:r>
                      <m:t>5.92</m:t>
                    </m:r>
                  </m:e>
                </m:mr>
                <m:mr>
                  <m:e>
                    <m:sSub>
                      <m:e>
                        <m:r>
                          <m:t>η</m:t>
                        </m:r>
                      </m:e>
                      <m:sub>
                        <m:r>
                          <m:t>S</m:t>
                        </m:r>
                        <m:r>
                          <m:t>2</m:t>
                        </m:r>
                        <m:r>
                          <m:rPr>
                            <m:sty m:val="p"/>
                          </m:rPr>
                          <m:t>,</m:t>
                        </m:r>
                        <m:r>
                          <m:t>95</m:t>
                        </m:r>
                      </m:sub>
                    </m:sSub>
                    <m:r>
                      <m:rPr>
                        <m:sty m:val="p"/>
                      </m:rPr>
                      <m:t>=</m:t>
                    </m:r>
                    <m:r>
                      <m:t>5.92</m:t>
                    </m:r>
                  </m:e>
                </m:mr>
                <m:mr>
                  <m:e/>
                </m:mr>
              </m:m>
            </m:e>
          </m:d>
        </m:oMath>
      </m:oMathPara>
    </w:p>
    <w:p>
      <w:pPr>
        <w:pStyle w:val="FirstParagraph"/>
      </w:pPr>
      <w:r>
        <w:t xml:space="preserve">We next construct the reward matrices:</w:t>
      </w:r>
    </w:p>
    <w:p>
      <w:pPr>
        <w:pStyle w:val="BodyText"/>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B</m:t>
                        </m:r>
                      </m:e>
                    </m:acc>
                  </m:e>
                  <m:sub>
                    <m:r>
                      <m:t>1</m:t>
                    </m:r>
                  </m:sub>
                </m:sSub>
              </m:e>
              <m:e>
                <m:r>
                  <m:rPr>
                    <m:sty m:val="p"/>
                  </m:rPr>
                  <m:t>=</m:t>
                </m:r>
                <m:d>
                  <m:dPr>
                    <m:begChr m:val="("/>
                    <m:endChr m:val=")"/>
                    <m:sepChr m:val=""/>
                    <m:grow/>
                  </m:dPr>
                  <m:e>
                    <m:sSub>
                      <m:e>
                        <m:r>
                          <m:rPr>
                            <m:sty m:val="b"/>
                          </m:rPr>
                          <m:t>0</m:t>
                        </m:r>
                      </m:e>
                      <m:sub>
                        <m:r>
                          <m:t>τ</m:t>
                        </m:r>
                        <m:r>
                          <m:t>ω</m:t>
                        </m:r>
                        <m:r>
                          <m:rPr>
                            <m:sty m:val="p"/>
                          </m:rPr>
                          <m:t>×</m:t>
                        </m:r>
                        <m:r>
                          <m:t>τ</m:t>
                        </m:r>
                        <m:r>
                          <m:t>ω</m:t>
                        </m:r>
                      </m:sub>
                    </m:sSub>
                  </m:e>
                </m:d>
              </m:e>
            </m:mr>
            <m:mr>
              <m:e>
                <m:sSub>
                  <m:e>
                    <m:acc>
                      <m:accPr>
                        <m:chr m:val="̃"/>
                      </m:accPr>
                      <m:e>
                        <m:r>
                          <m:rPr>
                            <m:sty m:val="b"/>
                          </m:rPr>
                          <m:t>C</m:t>
                        </m:r>
                      </m:e>
                    </m:acc>
                  </m:e>
                  <m:sub>
                    <m:r>
                      <m:t>1</m:t>
                    </m:r>
                  </m:sub>
                </m:sSub>
              </m:e>
              <m:e>
                <m:r>
                  <m:rPr>
                    <m:sty m:val="p"/>
                  </m:rPr>
                  <m:t>=</m:t>
                </m:r>
                <m:d>
                  <m:dPr>
                    <m:begChr m:val="("/>
                    <m:endChr m:val=")"/>
                    <m:sepChr m:val=""/>
                    <m:grow/>
                  </m:dPr>
                  <m:e>
                    <m:m>
                      <m:mPr>
                        <m:baseJc m:val="center"/>
                        <m:plcHide m:val="on"/>
                        <m:mcs>
                          <m:mc>
                            <m:mcPr>
                              <m:mcJc m:val="center"/>
                              <m:count m:val="1"/>
                            </m:mcPr>
                          </m:mc>
                        </m:mcs>
                      </m:mPr>
                      <m:mr>
                        <m:e>
                          <m:sSubSup>
                            <m:e>
                              <m:acc>
                                <m:accPr>
                                  <m:chr m:val="̃"/>
                                </m:accPr>
                                <m:e>
                                  <m:r>
                                    <m:rPr>
                                      <m:sty m:val="b"/>
                                    </m:rPr>
                                    <m:t>η</m:t>
                                  </m:r>
                                </m:e>
                              </m:acc>
                            </m:e>
                            <m:sub>
                              <m:r>
                                <m:t>1</m:t>
                              </m:r>
                            </m:sub>
                            <m:sup>
                              <m:r>
                                <m:rPr>
                                  <m:sty m:val="p"/>
                                </m:rPr>
                                <m:t>⊤</m:t>
                              </m:r>
                            </m:sup>
                          </m:sSubSup>
                        </m:e>
                      </m:mr>
                      <m:mr>
                        <m:e>
                          <m:sSub>
                            <m:e>
                              <m:r>
                                <m:rPr>
                                  <m:sty m:val="b"/>
                                </m:rPr>
                                <m:t>0</m:t>
                              </m:r>
                            </m:e>
                            <m:sub>
                              <m:r>
                                <m:t>1</m:t>
                              </m:r>
                              <m:r>
                                <m:rPr>
                                  <m:sty m:val="p"/>
                                </m:rPr>
                                <m:t>×</m:t>
                              </m:r>
                              <m:r>
                                <m:t>τ</m:t>
                              </m:r>
                              <m:r>
                                <m:t>ω</m:t>
                              </m:r>
                            </m:sub>
                          </m:sSub>
                        </m:e>
                      </m:mr>
                    </m:m>
                  </m:e>
                </m:d>
                <m:r>
                  <m:rPr>
                    <m:sty m:val="p"/>
                  </m:rPr>
                  <m:t>.</m:t>
                </m:r>
              </m:e>
            </m:mr>
          </m:m>
        </m:oMath>
      </m:oMathPara>
    </w:p>
    <w:p>
      <w:pPr>
        <w:pStyle w:val="FirstParagraph"/>
      </w:pPr>
      <w:r>
        <w:t xml:space="preserve">and</w:t>
      </w:r>
    </w:p>
    <w:p>
      <w:pPr>
        <w:pStyle w:val="BodyText"/>
      </w:pPr>
      <m:oMathPara>
        <m:oMathParaPr>
          <m:jc m:val="center"/>
        </m:oMathParaPr>
        <m:oMath>
          <m:sSubSup>
            <m:e>
              <m:acc>
                <m:accPr>
                  <m:chr m:val="̃"/>
                </m:accPr>
                <m:e>
                  <m:r>
                    <m:rPr>
                      <m:sty m:val="b"/>
                    </m:rPr>
                    <m:t>R</m:t>
                  </m:r>
                </m:e>
              </m:acc>
            </m:e>
            <m:sub>
              <m:r>
                <m:t>1</m:t>
              </m:r>
            </m:sub>
            <m:sup>
              <m:r>
                <m:t>Y</m:t>
              </m:r>
              <m:r>
                <m:t>L</m:t>
              </m:r>
              <m:r>
                <m:t>L</m:t>
              </m:r>
            </m:sup>
          </m:sSubSup>
          <m:r>
            <m:rPr>
              <m:sty m:val="p"/>
            </m:rPr>
            <m:t>=</m:t>
          </m:r>
          <m:d>
            <m:dPr>
              <m:begChr m:val="("/>
              <m:endChr m:val=")"/>
              <m:sepChr m:val=""/>
              <m:grow/>
            </m:dPr>
            <m:e>
              <m:m>
                <m:mPr>
                  <m:baseJc m:val="center"/>
                  <m:plcHide m:val="on"/>
                  <m:mcs>
                    <m:mc>
                      <m:mcPr>
                        <m:mcJc m:val="center"/>
                        <m:count m:val="1"/>
                      </m:mcPr>
                    </m:mc>
                    <m:mc>
                      <m:mcPr>
                        <m:mcJc m:val="center"/>
                        <m:count m:val="1"/>
                      </m:mcPr>
                    </m:mc>
                  </m:mcs>
                </m:mPr>
                <m:mr>
                  <m:e>
                    <m:sSub>
                      <m:e>
                        <m:r>
                          <m:rPr>
                            <m:sty m:val="b"/>
                          </m:rPr>
                          <m:t>0</m:t>
                        </m:r>
                      </m:e>
                      <m:sub>
                        <m:r>
                          <m:t>τ</m:t>
                        </m:r>
                        <m:r>
                          <m:t>ω</m:t>
                        </m:r>
                        <m:r>
                          <m:rPr>
                            <m:sty m:val="p"/>
                          </m:rPr>
                          <m:t>×</m:t>
                        </m:r>
                        <m:r>
                          <m:t>τ</m:t>
                        </m:r>
                        <m:r>
                          <m:t>ω</m:t>
                        </m:r>
                      </m:sub>
                    </m:sSub>
                  </m:e>
                  <m:e>
                    <m:sSub>
                      <m:e>
                        <m:r>
                          <m:rPr>
                            <m:sty m:val="b"/>
                          </m:rPr>
                          <m:t>0</m:t>
                        </m:r>
                      </m:e>
                      <m:sub>
                        <m:r>
                          <m:t>τ</m:t>
                        </m:r>
                        <m:r>
                          <m:t>ω</m:t>
                        </m:r>
                        <m:r>
                          <m:rPr>
                            <m:sty m:val="p"/>
                          </m:rPr>
                          <m:t>×</m:t>
                        </m:r>
                        <m:r>
                          <m:t>2</m:t>
                        </m:r>
                      </m:sub>
                    </m:sSub>
                  </m:e>
                </m:mr>
                <m:mr>
                  <m:e>
                    <m:sSubSup>
                      <m:e>
                        <m:acc>
                          <m:accPr>
                            <m:chr m:val="̃"/>
                          </m:accPr>
                          <m:e>
                            <m:r>
                              <m:rPr>
                                <m:sty m:val="b"/>
                              </m:rPr>
                              <m:t>η</m:t>
                            </m:r>
                          </m:e>
                        </m:acc>
                      </m:e>
                      <m:sub>
                        <m:r>
                          <m:t>1</m:t>
                        </m:r>
                      </m:sub>
                      <m:sup>
                        <m:r>
                          <m:rPr>
                            <m:sty m:val="p"/>
                          </m:rPr>
                          <m:t>⊤</m:t>
                        </m:r>
                      </m:sup>
                    </m:sSubSup>
                  </m:e>
                  <m:e>
                    <m:sSub>
                      <m:e>
                        <m:r>
                          <m:rPr>
                            <m:sty m:val="b"/>
                          </m:rPr>
                          <m:t>0</m:t>
                        </m:r>
                      </m:e>
                      <m:sub>
                        <m:r>
                          <m:t>1</m:t>
                        </m:r>
                        <m:r>
                          <m:rPr>
                            <m:sty m:val="p"/>
                          </m:rPr>
                          <m:t>×</m:t>
                        </m:r>
                        <m:r>
                          <m:t>2</m:t>
                        </m:r>
                      </m:sub>
                    </m:sSub>
                  </m:e>
                </m:mr>
                <m:mr>
                  <m:e>
                    <m:sSub>
                      <m:e>
                        <m:r>
                          <m:rPr>
                            <m:sty m:val="b"/>
                          </m:rPr>
                          <m:t>0</m:t>
                        </m:r>
                      </m:e>
                      <m:sub>
                        <m:r>
                          <m:t>1</m:t>
                        </m:r>
                        <m:r>
                          <m:rPr>
                            <m:sty m:val="p"/>
                          </m:rPr>
                          <m:t>×</m:t>
                        </m:r>
                        <m:r>
                          <m:t>τ</m:t>
                        </m:r>
                        <m:r>
                          <m:t>ω</m:t>
                        </m:r>
                      </m:sub>
                    </m:sSub>
                  </m:e>
                  <m:e>
                    <m:sSub>
                      <m:e>
                        <m:r>
                          <m:rPr>
                            <m:sty m:val="b"/>
                          </m:rPr>
                          <m:t>0</m:t>
                        </m:r>
                      </m:e>
                      <m:sub>
                        <m:r>
                          <m:t>1</m:t>
                        </m:r>
                        <m:r>
                          <m:rPr>
                            <m:sty m:val="p"/>
                          </m:rPr>
                          <m:t>×</m:t>
                        </m:r>
                        <m:r>
                          <m:t>2</m:t>
                        </m:r>
                      </m:sub>
                    </m:sSub>
                  </m:e>
                </m:mr>
              </m:m>
            </m:e>
          </m:d>
        </m:oMath>
      </m:oMathPara>
    </w:p>
    <w:bookmarkEnd w:id="118"/>
    <w:bookmarkStart w:id="122" w:name="sec-expected"/>
    <w:p>
      <w:pPr>
        <w:pStyle w:val="Heading3"/>
      </w:pPr>
      <w:r>
        <w:t xml:space="preserve">6.3 Expected YLD and YLL Outcomes</w:t>
      </w:r>
    </w:p>
    <w:p>
      <w:pPr>
        <w:pStyle w:val="FirstParagraph"/>
      </w:pPr>
      <w:r>
        <w:t xml:space="preserve">The expected value of outcome</w:t>
      </w:r>
      <w:r>
        <w:t xml:space="preserve"> </w:t>
      </w:r>
      <m:oMath>
        <m:r>
          <m:t>Y</m:t>
        </m:r>
      </m:oMath>
      <w:r>
        <w:t xml:space="preserve"> </w:t>
      </w:r>
      <w:r>
        <w:t xml:space="preserve">(where</w:t>
      </w:r>
      <w:r>
        <w:t xml:space="preserve"> </w:t>
      </w:r>
      <m:oMath>
        <m:r>
          <m:t>Y</m:t>
        </m:r>
        <m:r>
          <m:rPr>
            <m:sty m:val="p"/>
          </m:rPr>
          <m:t>∈</m:t>
        </m:r>
        <m:r>
          <m:rPr>
            <m:sty m:val="p"/>
          </m:rPr>
          <m:t>{</m:t>
        </m:r>
        <m:r>
          <m:t>Y</m:t>
        </m:r>
        <m:r>
          <m:t>L</m:t>
        </m:r>
        <m:r>
          <m:t>D</m:t>
        </m:r>
        <m:r>
          <m:rPr>
            <m:sty m:val="p"/>
          </m:rPr>
          <m:t>,</m:t>
        </m:r>
        <m:r>
          <m:t>Y</m:t>
        </m:r>
        <m:r>
          <m:t>L</m:t>
        </m:r>
        <m:r>
          <m:t>L</m:t>
        </m:r>
        <m:r>
          <m:rPr>
            <m:sty m:val="p"/>
          </m:rPr>
          <m:t>}</m:t>
        </m:r>
      </m:oMath>
      <w:r>
        <w:t xml:space="preserve">) is estimated by,</w:t>
      </w:r>
    </w:p>
    <w:p>
      <w:pPr>
        <w:pStyle w:val="BodyText"/>
      </w:pPr>
      <w:bookmarkStart w:id="119" w:name="eq-app3out"/>
      <m:oMathPara>
        <m:oMathParaPr>
          <m:jc m:val="center"/>
        </m:oMathParaPr>
        <m:oMath>
          <m:m>
            <m:mPr>
              <m:baseJc m:val="center"/>
              <m:plcHide m:val="on"/>
              <m:mcs>
                <m:mc>
                  <m:mcPr>
                    <m:mcJc m:val="right"/>
                    <m:count m:val="1"/>
                  </m:mcPr>
                </m:mc>
                <m:mc>
                  <m:mcPr>
                    <m:mcJc m:val="left"/>
                    <m:count m:val="1"/>
                  </m:mcPr>
                </m:mc>
              </m:mcs>
            </m:mPr>
            <m:mr>
              <m:e/>
              <m:e>
                <m:sSubSup>
                  <m:e>
                    <m:acc>
                      <m:accPr>
                        <m:chr m:val="̃"/>
                      </m:accPr>
                      <m:e>
                        <m:r>
                          <m:rPr>
                            <m:sty m:val="b"/>
                          </m:rPr>
                          <m:t>ρ</m:t>
                        </m:r>
                      </m:e>
                    </m:acc>
                  </m:e>
                  <m:sub>
                    <m:r>
                      <m:t>1</m:t>
                    </m:r>
                  </m:sub>
                  <m:sup>
                    <m:r>
                      <m:t>Y</m:t>
                    </m:r>
                  </m:sup>
                </m:sSubSup>
                <m:r>
                  <m:rPr>
                    <m:sty m:val="p"/>
                  </m:rPr>
                  <m:t>=</m:t>
                </m:r>
                <m:sSup>
                  <m:e>
                    <m:acc>
                      <m:accPr>
                        <m:chr m:val="̃"/>
                      </m:accPr>
                      <m:e>
                        <m:r>
                          <m:rPr>
                            <m:sty m:val="b"/>
                          </m:rPr>
                          <m:t>N</m:t>
                        </m:r>
                      </m:e>
                    </m:acc>
                  </m:e>
                  <m:sup>
                    <m:r>
                      <m:rPr>
                        <m:sty m:val="p"/>
                      </m:rPr>
                      <m:t>⊤</m:t>
                    </m:r>
                  </m:sup>
                </m:sSup>
                <m:r>
                  <m:rPr>
                    <m:sty m:val="b"/>
                  </m:rPr>
                  <m:t>Z</m:t>
                </m:r>
                <m:sSup>
                  <m:e>
                    <m:d>
                      <m:dPr>
                        <m:begChr m:val="("/>
                        <m:endChr m:val=")"/>
                        <m:sepChr m:val=""/>
                        <m:grow/>
                      </m:dPr>
                      <m:e>
                        <m:acc>
                          <m:accPr>
                            <m:chr m:val="̃"/>
                          </m:accPr>
                          <m:e>
                            <m:r>
                              <m:rPr>
                                <m:sty m:val="b"/>
                              </m:rPr>
                              <m:t>P</m:t>
                            </m:r>
                          </m:e>
                        </m:acc>
                        <m:r>
                          <m:rPr>
                            <m:sty m:val="p"/>
                          </m:rPr>
                          <m:t>⊙</m:t>
                        </m:r>
                        <m:sSubSup>
                          <m:e>
                            <m:acc>
                              <m:accPr>
                                <m:chr m:val="̃"/>
                              </m:accPr>
                              <m:e>
                                <m:r>
                                  <m:rPr>
                                    <m:sty m:val="b"/>
                                  </m:rPr>
                                  <m:t>R</m:t>
                                </m:r>
                              </m:e>
                            </m:acc>
                          </m:e>
                          <m:sub>
                            <m:r>
                              <m:t>1</m:t>
                            </m:r>
                          </m:sub>
                          <m:sup>
                            <m:r>
                              <m:t>Y</m:t>
                            </m:r>
                          </m:sup>
                        </m:sSubSup>
                      </m:e>
                    </m:d>
                  </m:e>
                  <m:sup>
                    <m:r>
                      <m:rPr>
                        <m:sty m:val="p"/>
                      </m:rPr>
                      <m:t>⊤</m:t>
                    </m:r>
                  </m:sup>
                </m:sSup>
                <m:sSub>
                  <m:e>
                    <m:r>
                      <m:rPr>
                        <m:sty m:val="b"/>
                      </m:rPr>
                      <m:t>1</m:t>
                    </m:r>
                  </m:e>
                  <m:sub>
                    <m:r>
                      <m:t>s</m:t>
                    </m:r>
                  </m:sub>
                </m:sSub>
              </m:e>
            </m:mr>
          </m:m>
          <m:r>
            <m:t>  </m:t>
          </m:r>
          <m:d>
            <m:dPr>
              <m:begChr m:val="("/>
              <m:endChr m:val=")"/>
              <m:sepChr m:val=""/>
              <m:grow/>
            </m:dPr>
            <m:e>
              <m:r>
                <m:t>28</m:t>
              </m:r>
            </m:e>
          </m:d>
        </m:oMath>
      </m:oMathPara>
      <w:bookmarkEnd w:id="119"/>
    </w:p>
    <w:p>
      <w:pPr>
        <w:pStyle w:val="FirstParagraph"/>
      </w:pPr>
      <w:r>
        <w:t xml:space="preserve">where</w:t>
      </w:r>
      <w:r>
        <w:t xml:space="preserve"> </w:t>
      </w:r>
      <m:oMath>
        <m:acc>
          <m:accPr>
            <m:chr m:val="̃"/>
          </m:accPr>
          <m:e>
            <m:r>
              <m:rPr>
                <m:sty m:val="b"/>
              </m:rPr>
              <m:t>N</m:t>
            </m:r>
          </m:e>
        </m:acc>
      </m:oMath>
      <w:r>
        <w:t xml:space="preserve"> </w:t>
      </w:r>
      <w:r>
        <w:t xml:space="preserve">is the fundamental matrix,</w:t>
      </w:r>
    </w:p>
    <w:p>
      <w:pPr>
        <w:pStyle w:val="BodyText"/>
      </w:pPr>
      <m:oMathPara>
        <m:oMathParaPr>
          <m:jc m:val="center"/>
        </m:oMathParaPr>
        <m:oMath>
          <m:acc>
            <m:accPr>
              <m:chr m:val="̃"/>
            </m:accPr>
            <m:e>
              <m:r>
                <m:rPr>
                  <m:sty m:val="b"/>
                </m:rPr>
                <m:t>N</m:t>
              </m:r>
            </m:e>
          </m:acc>
          <m:r>
            <m:rPr>
              <m:sty m:val="p"/>
            </m:rPr>
            <m:t>=</m:t>
          </m:r>
          <m:sSup>
            <m:e>
              <m:d>
                <m:dPr>
                  <m:begChr m:val="("/>
                  <m:endChr m:val=")"/>
                  <m:sepChr m:val=""/>
                  <m:grow/>
                </m:dPr>
                <m:e>
                  <m:r>
                    <m:rPr>
                      <m:sty m:val="b"/>
                    </m:rPr>
                    <m:t>I</m:t>
                  </m:r>
                  <m:r>
                    <m:rPr>
                      <m:sty m:val="p"/>
                    </m:rPr>
                    <m:t>−</m:t>
                  </m:r>
                  <m:acc>
                    <m:accPr>
                      <m:chr m:val="̃"/>
                    </m:accPr>
                    <m:e>
                      <m:r>
                        <m:rPr>
                          <m:sty m:val="b"/>
                        </m:rPr>
                        <m:t>U</m:t>
                      </m:r>
                    </m:e>
                  </m:acc>
                </m:e>
              </m:d>
            </m:e>
            <m:sup>
              <m:r>
                <m:rPr>
                  <m:sty m:val="p"/>
                </m:rPr>
                <m:t>−</m:t>
              </m:r>
              <m:r>
                <m:t>1</m:t>
              </m:r>
            </m:sup>
          </m:sSup>
        </m:oMath>
      </m:oMathPara>
    </w:p>
    <w:p>
      <w:pPr>
        <w:pStyle w:val="FirstParagraph"/>
      </w:pPr>
      <w:r>
        <w:t xml:space="preserve">and</w:t>
      </w:r>
      <w:r>
        <w:t xml:space="preserve"> </w:t>
      </w:r>
      <m:oMath>
        <m:r>
          <m:rPr>
            <m:sty m:val="b"/>
          </m:rPr>
          <m:t>Z</m:t>
        </m:r>
      </m:oMath>
      <w:r>
        <w:t xml:space="preserve"> </w:t>
      </w:r>
      <w:r>
        <w:t xml:space="preserve">is</w:t>
      </w:r>
    </w:p>
    <w:p>
      <w:pPr>
        <w:pStyle w:val="BodyText"/>
      </w:pPr>
      <m:oMathPara>
        <m:oMathParaPr>
          <m:jc m:val="center"/>
        </m:oMathParaPr>
        <m:oMath>
          <m:r>
            <m:rPr>
              <m:sty m:val="b"/>
            </m:rPr>
            <m:t>Z</m:t>
          </m:r>
          <m:r>
            <m:rPr>
              <m:sty m:val="p"/>
            </m:rPr>
            <m:t>=</m:t>
          </m:r>
          <m:d>
            <m:dPr>
              <m:begChr m:val="("/>
              <m:endChr m:val=")"/>
              <m:sepChr m:val=""/>
              <m:grow/>
            </m:dPr>
            <m:e>
              <m:sSub>
                <m:e>
                  <m:r>
                    <m:rPr>
                      <m:sty m:val="b"/>
                    </m:rPr>
                    <m:t>I</m:t>
                  </m:r>
                </m:e>
                <m:sub>
                  <m:r>
                    <m:t>τ</m:t>
                  </m:r>
                  <m:r>
                    <m:t>ω</m:t>
                  </m:r>
                </m:sub>
              </m:sSub>
              <m:r>
                <m:rPr>
                  <m:sty m:val="p"/>
                </m:rPr>
                <m:t>∣</m:t>
              </m:r>
              <m:sSub>
                <m:e>
                  <m:r>
                    <m:rPr>
                      <m:sty m:val="b"/>
                    </m:rPr>
                    <m:t>0</m:t>
                  </m:r>
                </m:e>
                <m:sub>
                  <m:r>
                    <m:t>τ</m:t>
                  </m:r>
                  <m:r>
                    <m:t>ω</m:t>
                  </m:r>
                  <m:r>
                    <m:rPr>
                      <m:sty m:val="p"/>
                    </m:rPr>
                    <m:t>×</m:t>
                  </m:r>
                  <m:r>
                    <m:t>α</m:t>
                  </m:r>
                </m:sub>
              </m:sSub>
            </m:e>
          </m:d>
        </m:oMath>
      </m:oMathPara>
    </w:p>
    <w:p>
      <w:pPr>
        <w:pStyle w:val="FirstParagraph"/>
      </w:pPr>
      <w:r>
        <w:t xml:space="preserve">Total (across all ages) outcomes for each starting health state are calculated as</w:t>
      </w:r>
    </w:p>
    <w:p>
      <w:pPr>
        <w:pStyle w:val="BodyText"/>
      </w:pPr>
      <w:bookmarkStart w:id="120" w:name="eq-app3outstate"/>
      <m:oMathPara>
        <m:oMathParaPr>
          <m:jc m:val="center"/>
        </m:oMathParaPr>
        <m:oMath>
          <m:sSubSup>
            <m:e>
              <m:r>
                <m:rPr>
                  <m:sty m:val="b"/>
                </m:rPr>
                <m:t>ρ</m:t>
              </m:r>
            </m:e>
            <m:sub>
              <m:r>
                <m:t>1</m:t>
              </m:r>
            </m:sub>
            <m:sup>
              <m:r>
                <m:t>Y</m:t>
              </m:r>
              <m:r>
                <m:rPr>
                  <m:sty m:val="p"/>
                </m:rPr>
                <m:t>,</m:t>
              </m:r>
              <m:r>
                <m:rPr>
                  <m:nor/>
                  <m:sty m:val="p"/>
                </m:rPr>
                <m:t>stage </m:t>
              </m:r>
            </m:sup>
          </m:sSubSup>
          <m:d>
            <m:dPr>
              <m:begChr m:val="("/>
              <m:endChr m:val=")"/>
              <m:sepChr m:val=""/>
              <m:grow/>
            </m:dPr>
            <m:e>
              <m:r>
                <m:rPr>
                  <m:sty m:val="p"/>
                </m:rPr>
                <m:t>cycle</m:t>
              </m:r>
              <m:r>
                <m:t>t</m:t>
              </m:r>
            </m:e>
          </m:d>
          <m:r>
            <m:rPr>
              <m:sty m:val="p"/>
            </m:rPr>
            <m:t>=</m:t>
          </m:r>
          <m:d>
            <m:dPr>
              <m:begChr m:val="("/>
              <m:endChr m:val=")"/>
              <m:sepChr m:val=""/>
              <m:grow/>
            </m:dPr>
            <m:e>
              <m:sSubSup>
                <m:e>
                  <m:r>
                    <m:rPr>
                      <m:sty m:val="b"/>
                    </m:rPr>
                    <m:t>e</m:t>
                  </m:r>
                </m:e>
                <m:sub>
                  <m:r>
                    <m:t>t</m:t>
                  </m:r>
                </m:sub>
                <m:sup>
                  <m:r>
                    <m:rPr>
                      <m:sty m:val="p"/>
                    </m:rPr>
                    <m:t>⊤</m:t>
                  </m:r>
                </m:sup>
              </m:sSubSup>
              <m:r>
                <m:rPr>
                  <m:sty m:val="p"/>
                </m:rPr>
                <m:t>⊗</m:t>
              </m:r>
              <m:sSub>
                <m:e>
                  <m:r>
                    <m:rPr>
                      <m:sty m:val="b"/>
                    </m:rPr>
                    <m:t>I</m:t>
                  </m:r>
                </m:e>
                <m:sub>
                  <m:r>
                    <m:t>τ</m:t>
                  </m:r>
                </m:sub>
              </m:sSub>
            </m:e>
          </m:d>
          <m:sSubSup>
            <m:e>
              <m:acc>
                <m:accPr>
                  <m:chr m:val="̃"/>
                </m:accPr>
                <m:e>
                  <m:r>
                    <m:rPr>
                      <m:sty m:val="b"/>
                    </m:rPr>
                    <m:t>ρ</m:t>
                  </m:r>
                </m:e>
              </m:acc>
            </m:e>
            <m:sub>
              <m:r>
                <m:t>1</m:t>
              </m:r>
            </m:sub>
            <m:sup>
              <m:r>
                <m:t>Y</m:t>
              </m:r>
            </m:sup>
          </m:sSubSup>
          <m:r>
            <m:t> </m:t>
          </m:r>
          <m:r>
            <m:t>τ</m:t>
          </m:r>
          <m:r>
            <m:rPr>
              <m:sty m:val="p"/>
            </m:rPr>
            <m:t>×</m:t>
          </m:r>
          <m:r>
            <m:t>1</m:t>
          </m:r>
          <m:r>
            <m:t>  </m:t>
          </m:r>
          <m:d>
            <m:dPr>
              <m:begChr m:val="("/>
              <m:endChr m:val=")"/>
              <m:sepChr m:val=""/>
              <m:grow/>
            </m:dPr>
            <m:e>
              <m:r>
                <m:t>29</m:t>
              </m:r>
            </m:e>
          </m:d>
        </m:oMath>
      </m:oMathPara>
      <w:bookmarkEnd w:id="120"/>
    </w:p>
    <w:p>
      <w:pPr>
        <w:pStyle w:val="FirstParagraph"/>
      </w:pPr>
      <w:r>
        <w:t xml:space="preserve">where</w:t>
      </w:r>
      <w:r>
        <w:t xml:space="preserve"> </w:t>
      </w:r>
      <m:oMath>
        <m:r>
          <m:rPr>
            <m:sty m:val="p"/>
          </m:rPr>
          <m:t>⊗</m:t>
        </m:r>
      </m:oMath>
      <w:r>
        <w:t xml:space="preserve"> </w:t>
      </w:r>
      <w:r>
        <w:t xml:space="preserve">is the Kronecker operator and</w:t>
      </w:r>
      <w:r>
        <w:t xml:space="preserve"> </w:t>
      </w:r>
      <m:oMath>
        <m:sSub>
          <m:e>
            <m:r>
              <m:rPr>
                <m:sty m:val="b"/>
              </m:rPr>
              <m:t>e</m:t>
            </m:r>
          </m:e>
          <m:sub>
            <m:r>
              <m:t>t</m:t>
            </m:r>
          </m:sub>
        </m:sSub>
      </m:oMath>
      <w:r>
        <w:t xml:space="preserve"> </w:t>
      </w:r>
      <w:r>
        <w:t xml:space="preserve">is a vector of length</w:t>
      </w:r>
      <w:r>
        <w:t xml:space="preserve"> </w:t>
      </w:r>
      <m:oMath>
        <m:r>
          <m:t>ω</m:t>
        </m:r>
      </m:oMath>
      <w:r>
        <w:t xml:space="preserve"> </w:t>
      </w:r>
      <w:r>
        <w:t xml:space="preserve">with a value of one in the first position and zero elsewhere; this facilitates calculating expected outcomes from the baseline period (i.e.,</w:t>
      </w:r>
      <w:r>
        <w:t xml:space="preserve"> </w:t>
      </w:r>
      <m:oMath>
        <m:r>
          <m:t>t</m:t>
        </m:r>
        <m:r>
          <m:rPr>
            <m:sty m:val="p"/>
          </m:rPr>
          <m:t>=</m:t>
        </m:r>
        <m:r>
          <m:t>0</m:t>
        </m:r>
      </m:oMath>
      <w:r>
        <w:t xml:space="preserve">).</w:t>
      </w:r>
    </w:p>
    <w:p>
      <w:pPr>
        <w:pStyle w:val="BodyText"/>
      </w:pPr>
      <w:hyperlink w:anchor="eq-app3outstate">
        <w:r>
          <w:rPr>
            <w:rStyle w:val="Hyperlink"/>
          </w:rPr>
          <w:t xml:space="preserve">Equation 29</w:t>
        </w:r>
      </w:hyperlink>
      <w:r>
        <w:t xml:space="preserve"> </w:t>
      </w:r>
      <w:r>
        <w:t xml:space="preserve">will yield expected outcomes as typically reported in health economic evaluations. Alternatively, we may wish to calculate outcomes separately under different baseline age-health state combinations (e.g., DALYs for healthy 55 year-old adults). We obtain these expected outcomes by,</w:t>
      </w:r>
    </w:p>
    <w:p>
      <w:pPr>
        <w:pStyle w:val="BodyText"/>
      </w:pPr>
      <w:bookmarkStart w:id="121" w:name="eq-app3outage"/>
      <m:oMathPara>
        <m:oMathParaPr>
          <m:jc m:val="center"/>
        </m:oMathParaPr>
        <m:oMath>
          <m:sSubSup>
            <m:e>
              <m:r>
                <m:rPr>
                  <m:sty m:val="b"/>
                </m:rPr>
                <m:t>ρ</m:t>
              </m:r>
            </m:e>
            <m:sub>
              <m:r>
                <m:t>1</m:t>
              </m:r>
            </m:sub>
            <m:sup>
              <m:r>
                <m:t>Y</m:t>
              </m:r>
              <m:r>
                <m:rPr>
                  <m:sty m:val="p"/>
                </m:rPr>
                <m:t>,</m:t>
              </m:r>
              <m:r>
                <m:rPr>
                  <m:nor/>
                  <m:sty m:val="p"/>
                </m:rPr>
                <m:t>age </m:t>
              </m:r>
            </m:sup>
          </m:sSubSup>
          <m:d>
            <m:dPr>
              <m:begChr m:val="("/>
              <m:endChr m:val=")"/>
              <m:sepChr m:val=""/>
              <m:grow/>
            </m:dPr>
            <m:e>
              <m:r>
                <m:rPr>
                  <m:nor/>
                  <m:sty m:val="p"/>
                </m:rPr>
                <m:t> stage </m:t>
              </m:r>
              <m:r>
                <m:t>i</m:t>
              </m:r>
            </m:e>
          </m:d>
          <m:r>
            <m:rPr>
              <m:sty m:val="p"/>
            </m:rPr>
            <m:t>=</m:t>
          </m:r>
          <m:d>
            <m:dPr>
              <m:begChr m:val="("/>
              <m:endChr m:val=")"/>
              <m:sepChr m:val=""/>
              <m:grow/>
            </m:dPr>
            <m:e>
              <m:sSub>
                <m:e>
                  <m:r>
                    <m:rPr>
                      <m:sty m:val="b"/>
                    </m:rPr>
                    <m:t>I</m:t>
                  </m:r>
                </m:e>
                <m:sub>
                  <m:r>
                    <m:t>ω</m:t>
                  </m:r>
                </m:sub>
              </m:sSub>
              <m:r>
                <m:rPr>
                  <m:sty m:val="p"/>
                </m:rPr>
                <m:t>⊗</m:t>
              </m:r>
              <m:sSubSup>
                <m:e>
                  <m:r>
                    <m:rPr>
                      <m:sty m:val="b"/>
                    </m:rPr>
                    <m:t>e</m:t>
                  </m:r>
                </m:e>
                <m:sub>
                  <m:r>
                    <m:t>i</m:t>
                  </m:r>
                </m:sub>
                <m:sup>
                  <m:r>
                    <m:rPr>
                      <m:sty m:val="p"/>
                    </m:rPr>
                    <m:t>⊤</m:t>
                  </m:r>
                </m:sup>
              </m:sSubSup>
            </m:e>
          </m:d>
          <m:sSubSup>
            <m:e>
              <m:acc>
                <m:accPr>
                  <m:chr m:val="̃"/>
                </m:accPr>
                <m:e>
                  <m:r>
                    <m:rPr>
                      <m:sty m:val="b"/>
                    </m:rPr>
                    <m:t>ρ</m:t>
                  </m:r>
                </m:e>
              </m:acc>
            </m:e>
            <m:sub>
              <m:r>
                <m:t>1</m:t>
              </m:r>
            </m:sub>
            <m:sup>
              <m:r>
                <m:t>Y</m:t>
              </m:r>
            </m:sup>
          </m:sSubSup>
          <m:r>
            <m:t> </m:t>
          </m:r>
          <m:r>
            <m:t>ω</m:t>
          </m:r>
          <m:r>
            <m:rPr>
              <m:sty m:val="p"/>
            </m:rPr>
            <m:t>×</m:t>
          </m:r>
          <m:r>
            <m:t>1</m:t>
          </m:r>
          <m:r>
            <m:rPr>
              <m:sty m:val="p"/>
            </m:rPr>
            <m:t>,</m:t>
          </m:r>
          <m:r>
            <m:t>  </m:t>
          </m:r>
          <m:d>
            <m:dPr>
              <m:begChr m:val="("/>
              <m:endChr m:val=")"/>
              <m:sepChr m:val=""/>
              <m:grow/>
            </m:dPr>
            <m:e>
              <m:r>
                <m:t>30</m:t>
              </m:r>
            </m:e>
          </m:d>
        </m:oMath>
      </m:oMathPara>
      <w:bookmarkEnd w:id="121"/>
    </w:p>
    <w:p>
      <w:pPr>
        <w:pStyle w:val="FirstParagraph"/>
      </w:pPr>
      <w:r>
        <w:t xml:space="preserve">where</w:t>
      </w:r>
      <w:r>
        <w:t xml:space="preserve"> </w:t>
      </w:r>
      <m:oMath>
        <m:sSub>
          <m:e>
            <m:r>
              <m:rPr>
                <m:sty m:val="b"/>
              </m:rPr>
              <m:t>e</m:t>
            </m:r>
          </m:e>
          <m:sub>
            <m:r>
              <m:t>i</m:t>
            </m:r>
          </m:sub>
        </m:sSub>
      </m:oMath>
      <w:r>
        <w:t xml:space="preserve"> </w:t>
      </w:r>
      <w:r>
        <w:t xml:space="preserve">is a vector of length</w:t>
      </w:r>
      <w:r>
        <w:t xml:space="preserve"> </w:t>
      </w:r>
      <m:oMath>
        <m:r>
          <m:t>τ</m:t>
        </m:r>
      </m:oMath>
      <w:r>
        <w:t xml:space="preserve"> </w:t>
      </w:r>
      <w:r>
        <w:t xml:space="preserve">with a value of one in the initial health state position of interest (e.g.,</w:t>
      </w:r>
      <w:r>
        <w:t xml:space="preserve"> </w:t>
      </w:r>
      <w:r>
        <w:rPr>
          <w:rStyle w:val="VerbatimChar"/>
        </w:rPr>
        <w:t xml:space="preserve">Healthy</w:t>
      </w:r>
      <w:r>
        <w:t xml:space="preserve">) and zero elsewhere.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2"/>
    <w:bookmarkEnd w:id="123"/>
    <w:bookmarkStart w:id="128" w:name="sec-results"/>
    <w:p>
      <w:pPr>
        <w:pStyle w:val="Heading2"/>
      </w:pPr>
      <w:r>
        <w:t xml:space="preserve">7 Results</w:t>
      </w:r>
    </w:p>
    <w:bookmarkStart w:id="125" w:name="Xa02540c6f59e24771de06959257959ed2b453e9"/>
    <w:p>
      <w:pPr>
        <w:pStyle w:val="Heading3"/>
      </w:pPr>
      <w:r>
        <w:t xml:space="preserve">7.1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across the three approaches. Due to their similar structure, Approaches 1 and 2 yield identical estimates and are reported together in the table. Approach 3 draws on a slightly different partial occupancy assumption, though yields DALY estimates that are consistently within 2% of those under Approaches 1 &amp; 2. YLLs have the largest difference (up to 5%), while YLDs have the lowest (around 1%).</w:t>
      </w:r>
    </w:p>
    <w:tbl>
      <w:tblPr>
        <w:tblStyle w:val="Table"/>
        <w:tblW w:type="pct" w:w="5000"/>
        <w:tblLook w:firstRow="0" w:lastRow="0" w:firstColumn="0" w:lastColumn="0" w:noHBand="0" w:noVBand="0" w:val="0000"/>
        <w:jc w:val="start"/>
        <w:tblLayout w:type="fixed"/>
      </w:tblPr>
      <w:tblGrid>
        <w:gridCol w:w="7920"/>
      </w:tblGrid>
      <w:tr>
        <w:tc>
          <w:tcPr/>
          <w:bookmarkStart w:id="124" w:name="tbl-compare1"/>
          <w:p>
            <w:pPr>
              <w:jc w:val="center"/>
            </w:pPr>
            <w:pPr>
              <w:jc w:val="start"/>
              <w:spacing w:before="200"/>
              <w:pStyle w:val="ImageCaption"/>
            </w:pPr>
            <w:r>
              <w:t xml:space="preserve">Table 2: Comparison of Outcomes Under Three DALY Approaches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1080"/>
              <w:gridCol w:w="72"/>
              <w:gridCol w:w="1080"/>
              <w:gridCol w:w="1080"/>
              <w:gridCol w:w="72"/>
              <w:gridCol w:w="1080"/>
              <w:gridCol w:w="1080"/>
            </w:tblGrid>
            <w:tr>
              <w:trPr>
                <w:trHeight w:val="360" w:hRule="auto"/>
                <w:tblHeader/>
              </w:trPr>
              header1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blHeader/>
              </w:trPr>
              header2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Trace (1&amp;2)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Markov Chain With Rewards (3)</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4.500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7.183</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6.464</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3.731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5.758</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4.890</w:t>
                  </w:r>
                </w:p>
              </w:tc>
            </w:tr>
          </w:tbl>
          <w:bookmarkEnd w:id="124"/>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5"/>
    <w:bookmarkStart w:id="127" w:name="X6f6046c3d1a4b56f5249b5bc60f64bef24ea41a"/>
    <w:p>
      <w:pPr>
        <w:pStyle w:val="Heading3"/>
      </w:pPr>
      <w:r>
        <w:t xml:space="preserve">7.2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three DALY approaches. The table also includes results under two</w:t>
      </w:r>
      <w:r>
        <w:t xml:space="preserve"> </w:t>
      </w:r>
      <w:r>
        <w:t xml:space="preserve">“</w:t>
      </w:r>
      <w:r>
        <w:t xml:space="preserve">shortcut</w:t>
      </w:r>
      <w:r>
        <w:t xml:space="preserve">”</w:t>
      </w:r>
      <w:r>
        <w:t xml:space="preserve"> </w:t>
      </w:r>
      <w:r>
        <w:t xml:space="preserve">DALY strategies. As above, there is a roughly 3% difference in outcome estimates, including ICERs, across our three DALY approaches.</w:t>
      </w:r>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First, the method labeled</w:t>
      </w:r>
      <w:r>
        <w:t xml:space="preserve"> </w:t>
      </w:r>
      <w:r>
        <w:rPr>
          <w:bCs/>
          <w:b/>
        </w:rPr>
        <w:t xml:space="preserve">death state occupancy</w:t>
      </w:r>
      <w:r>
        <w:t xml:space="preserve"> </w:t>
      </w:r>
      <w:r>
        <w:t xml:space="preserve">defines cycle payoffs based on the disease weight for the diseased health states, and a payoff value of 1.0 for the disease-related death state. Inclusion of disease weights facilitates accumulation of YLDs; YLLs are calculated by accumulating time in the disease-related death state. This approach to YLLs is endogenous to the model, i.e., it does not incorporate exogenous life expectancy information from the GBD reference life table.</w:t>
      </w:r>
    </w:p>
    <w:p>
      <w:pPr>
        <w:pStyle w:val="BodyText"/>
      </w:pPr>
      <w:r>
        <w:t xml:space="preserve">The death state occupancy method yields DALY estimates that are 32-38% higher than our three approaches, and results in an ICER that is 25% lower for Strategy A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identical for the death state occupancy method vs. Approaches 1 &amp; 2.</w:t>
      </w:r>
    </w:p>
    <w:p>
      <w:pPr>
        <w:pStyle w:val="BodyText"/>
      </w:pPr>
      <w:r>
        <w:t xml:space="preserve">Next, the approach labeled</w:t>
      </w:r>
      <w:r>
        <w:t xml:space="preserve"> </w:t>
      </w:r>
      <w:r>
        <w:rPr>
          <w:bCs/>
          <w:b/>
        </w:rPr>
        <w:t xml:space="preserve">QALY-like DALY</w:t>
      </w:r>
      <w:r>
        <w:t xml:space="preserve"> </w:t>
      </w:r>
      <w:r>
        <w:t xml:space="preserve">defines the cycle occupancy payoff for the sick and sicker states as one minus the disability weight; as in many QALY applications, the healthy state receives a payoff value of 1.0. Because we have defined the disability weight in this example as one minus the utility weight, the</w:t>
      </w:r>
      <w:r>
        <w:t xml:space="preserve"> </w:t>
      </w:r>
      <w:r>
        <w:rPr>
          <w:bCs/>
          <w:b/>
        </w:rPr>
        <w:t xml:space="preserve">QALY-like DALY</w:t>
      </w:r>
      <w:r>
        <w:t xml:space="preserve"> </w:t>
      </w:r>
      <w:r>
        <w:t xml:space="preserve">approach yields estimates that are equivalent to estimating standard QALY outcomes.</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deferentially improves quality of life.</w:t>
      </w:r>
    </w:p>
    <w:tbl>
      <w:tblPr>
        <w:tblStyle w:val="Table"/>
        <w:tblW w:type="pct" w:w="5000"/>
        <w:tblLook w:firstRow="0" w:lastRow="0" w:firstColumn="0" w:lastColumn="0" w:noHBand="0" w:noVBand="0" w:val="0000"/>
        <w:jc w:val="start"/>
        <w:tblLayout w:type="fixed"/>
      </w:tblPr>
      <w:tblGrid>
        <w:gridCol w:w="7920"/>
      </w:tblGrid>
      <w:tr>
        <w:tc>
          <w:tcPr/>
          <w:bookmarkStart w:id="126"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Trace (1&amp;2)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Markov Chain With Rewards (3)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8"/>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153,685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247,354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255,608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362,476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375,043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282,525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8"/>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65,749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51,524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53,119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132,583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r>
          </w:tbl>
          <w:bookmarkEnd w:id="126"/>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27"/>
    <w:bookmarkEnd w:id="128"/>
    <w:bookmarkStart w:id="130" w:name="discussion"/>
    <w:p>
      <w:pPr>
        <w:pStyle w:val="Heading2"/>
      </w:pPr>
      <w:r>
        <w:t xml:space="preserve">8 Discussion</w:t>
      </w:r>
    </w:p>
    <w:p>
      <w:pPr>
        <w:pStyle w:val="FirstParagraph"/>
      </w:pPr>
      <w:r>
        <w:t xml:space="preserve">This study extends the methodological toolkit available to decision modelers by introducing three DALY estimation methods. Our approaches are designed to fit a full spectrum of experience and skill—thus making our methods accessible to any practitioner who aims to include DALYs in their decision model. Our results demonstrate that all three approaches yield similar values for DALY levels and incremental cost-effectiveness ratios in a didactic decision analytic progressive disease model.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or even exact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impact ICER calculations that make comparisons</w:t>
      </w:r>
      <w:r>
        <w:t xml:space="preserve"> </w:t>
      </w:r>
      <w:r>
        <w:rPr>
          <w:iCs/>
          <w:i/>
        </w:rPr>
        <w:t xml:space="preserve">across</w:t>
      </w:r>
      <w:r>
        <w:t xml:space="preserve"> </w:t>
      </w:r>
      <w:r>
        <w:t xml:space="preserve">strategies, but will yield inaccurate DALY levels in a modeled population. Reflecting the above observations, our ICER results comparing strategy AB to B—where the only difference is in the improved quality-of-life from strategy A, which will affect YLDs but not YLLs—are identical using Approaches 1&amp;2 and using the shortcut method based on accumulating time in the death state.</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29"/>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all three approaches facilitate the estimation of other common outcomes such as QALYs, life-years, etc. The adaption of the healthy longevity approach developed in</w:t>
      </w:r>
      <w:r>
        <w:t xml:space="preserve"> </w:t>
      </w:r>
      <w:r>
        <w:t xml:space="preserve">Caswell and van Daalen (2021)</w:t>
      </w:r>
      <w:r>
        <w:t xml:space="preserve"> </w:t>
      </w:r>
      <w:r>
        <w:t xml:space="preserve">to common decision modeling environments, in particular, opens up new outcomes (e.g., variance of QALYs) and flexible new methods for decision modelers.</w:t>
      </w:r>
    </w:p>
    <w:bookmarkEnd w:id="130"/>
    <w:bookmarkStart w:id="162" w:name="references"/>
    <w:p>
      <w:pPr>
        <w:pStyle w:val="Heading2"/>
      </w:pPr>
      <w:r>
        <w:t xml:space="preserve">References</w:t>
      </w:r>
    </w:p>
    <w:bookmarkStart w:id="161" w:name="refs"/>
    <w:bookmarkStart w:id="131"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31"/>
    <w:bookmarkStart w:id="133"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32">
        <w:r>
          <w:rPr>
            <w:rStyle w:val="Hyperlink"/>
          </w:rPr>
          <w:t xml:space="preserve">https://doi.org/10.2139/ssrn.3451311</w:t>
        </w:r>
      </w:hyperlink>
      <w:r>
        <w:t xml:space="preserve">.</w:t>
      </w:r>
    </w:p>
    <w:bookmarkEnd w:id="133"/>
    <w:bookmarkStart w:id="135"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34">
        <w:r>
          <w:rPr>
            <w:rStyle w:val="Hyperlink"/>
          </w:rPr>
          <w:t xml:space="preserve">https://doi.org/10.34172/ijhpm.2020.244</w:t>
        </w:r>
      </w:hyperlink>
      <w:r>
        <w:t xml:space="preserve">.</w:t>
      </w:r>
    </w:p>
    <w:bookmarkEnd w:id="135"/>
    <w:bookmarkStart w:id="137" w:name="ref-caswell2021a"/>
    <w:p>
      <w:pPr>
        <w:pStyle w:val="Bibliography"/>
      </w:pPr>
      <w:r>
        <w:t xml:space="preserve">Caswell, Hal, and Silke van Daalen. 2021.</w:t>
      </w:r>
      <w:r>
        <w:t xml:space="preserve"> </w:t>
      </w:r>
      <w:r>
        <w:t xml:space="preserve">“Healthy Longevity from Incidence-Based Models: More Kinds of Health Than Stars in the Sky.”</w:t>
      </w:r>
      <w:r>
        <w:t xml:space="preserve"> </w:t>
      </w:r>
      <w:r>
        <w:rPr>
          <w:iCs/>
          <w:i/>
        </w:rPr>
        <w:t xml:space="preserve">Demographic Research</w:t>
      </w:r>
      <w:r>
        <w:t xml:space="preserve"> </w:t>
      </w:r>
      <w:r>
        <w:t xml:space="preserve">45 (July): 397–452.</w:t>
      </w:r>
      <w:r>
        <w:t xml:space="preserve"> </w:t>
      </w:r>
      <w:hyperlink r:id="rId136">
        <w:r>
          <w:rPr>
            <w:rStyle w:val="Hyperlink"/>
          </w:rPr>
          <w:t xml:space="preserve">https://doi.org/10.4054/demres.2021.45.13</w:t>
        </w:r>
      </w:hyperlink>
      <w:r>
        <w:t xml:space="preserve">.</w:t>
      </w:r>
    </w:p>
    <w:bookmarkEnd w:id="137"/>
    <w:bookmarkStart w:id="139" w:name="ref-caswell2018"/>
    <w:p>
      <w:pPr>
        <w:pStyle w:val="Bibliography"/>
      </w:pPr>
      <w:r>
        <w:t xml:space="preserve">Caswell, Hal, and Virginia Zarulli. 2018.</w:t>
      </w:r>
      <w:r>
        <w:t xml:space="preserve"> </w:t>
      </w:r>
      <w:r>
        <w:t xml:space="preserve">“Matrix Methods in Health Demography: A New Approach to the Stochastic Analysis of Healthy Longevity and DALYs.”</w:t>
      </w:r>
      <w:r>
        <w:t xml:space="preserve"> </w:t>
      </w:r>
      <w:r>
        <w:rPr>
          <w:iCs/>
          <w:i/>
        </w:rPr>
        <w:t xml:space="preserve">Population Health Metrics</w:t>
      </w:r>
      <w:r>
        <w:t xml:space="preserve"> </w:t>
      </w:r>
      <w:r>
        <w:t xml:space="preserve">16 (1).</w:t>
      </w:r>
      <w:r>
        <w:t xml:space="preserve"> </w:t>
      </w:r>
      <w:hyperlink r:id="rId138">
        <w:r>
          <w:rPr>
            <w:rStyle w:val="Hyperlink"/>
          </w:rPr>
          <w:t xml:space="preserve">https://doi.org/10.1186/s12963-018-0165-5</w:t>
        </w:r>
      </w:hyperlink>
      <w:r>
        <w:t xml:space="preserve">.</w:t>
      </w:r>
    </w:p>
    <w:bookmarkEnd w:id="139"/>
    <w:bookmarkStart w:id="141"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40">
        <w:r>
          <w:rPr>
            <w:rStyle w:val="Hyperlink"/>
          </w:rPr>
          <w:t xml:space="preserve">https://doi.org/10.1017/s0266462320000124</w:t>
        </w:r>
      </w:hyperlink>
      <w:r>
        <w:t xml:space="preserve">.</w:t>
      </w:r>
    </w:p>
    <w:bookmarkEnd w:id="141"/>
    <w:bookmarkStart w:id="143"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42">
        <w:r>
          <w:rPr>
            <w:rStyle w:val="Hyperlink"/>
          </w:rPr>
          <w:t xml:space="preserve">https://doi.org/10.1093/heapol/16.3.326</w:t>
        </w:r>
      </w:hyperlink>
      <w:r>
        <w:t xml:space="preserve">.</w:t>
      </w:r>
    </w:p>
    <w:bookmarkEnd w:id="143"/>
    <w:bookmarkStart w:id="145" w:name="Xbb1be6a14052dc7db1b873668128cce3adcbadf"/>
    <w:p>
      <w:pPr>
        <w:pStyle w:val="Bibliography"/>
      </w:pPr>
      <w:r>
        <w:t xml:space="preserve">Global Burden of Disease Collaborative Network.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44">
        <w:r>
          <w:rPr>
            <w:rStyle w:val="Hyperlink"/>
          </w:rPr>
          <w:t xml:space="preserve">https://doi.org/10.6069/1D4Y-YQ37</w:t>
        </w:r>
      </w:hyperlink>
      <w:r>
        <w:t xml:space="preserve">.</w:t>
      </w:r>
    </w:p>
    <w:bookmarkEnd w:id="145"/>
    <w:bookmarkStart w:id="147"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46">
        <w:r>
          <w:rPr>
            <w:rStyle w:val="Hyperlink"/>
          </w:rPr>
          <w:t xml:space="preserve">https://doi.org/10.1177/0272989x21995805</w:t>
        </w:r>
      </w:hyperlink>
      <w:r>
        <w:t xml:space="preserve">.</w:t>
      </w:r>
    </w:p>
    <w:bookmarkEnd w:id="147"/>
    <w:bookmarkStart w:id="149" w:name="ref-henderson1981"/>
    <w:p>
      <w:pPr>
        <w:pStyle w:val="Bibliography"/>
      </w:pPr>
      <w:r>
        <w:t xml:space="preserve">Henderson, Harold V., and S. R. Searle. 1981.</w:t>
      </w:r>
      <w:r>
        <w:t xml:space="preserve"> </w:t>
      </w:r>
      <w:r>
        <w:t xml:space="preserve">“The Vec-Permutation Matrix, the Vec Operator and Kronecker Products: A Review.”</w:t>
      </w:r>
      <w:r>
        <w:t xml:space="preserve"> </w:t>
      </w:r>
      <w:r>
        <w:rPr>
          <w:iCs/>
          <w:i/>
        </w:rPr>
        <w:t xml:space="preserve">Linear and Multilinear Algebra</w:t>
      </w:r>
      <w:r>
        <w:t xml:space="preserve"> </w:t>
      </w:r>
      <w:r>
        <w:t xml:space="preserve">9 (4): 271–88.</w:t>
      </w:r>
      <w:r>
        <w:t xml:space="preserve"> </w:t>
      </w:r>
      <w:hyperlink r:id="rId148">
        <w:r>
          <w:rPr>
            <w:rStyle w:val="Hyperlink"/>
          </w:rPr>
          <w:t xml:space="preserve">https://doi.org/10.1080/03081088108817379</w:t>
        </w:r>
      </w:hyperlink>
      <w:r>
        <w:t xml:space="preserve">.</w:t>
      </w:r>
    </w:p>
    <w:bookmarkEnd w:id="149"/>
    <w:bookmarkStart w:id="150"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50"/>
    <w:bookmarkStart w:id="151"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51"/>
    <w:bookmarkStart w:id="153"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52">
        <w:r>
          <w:rPr>
            <w:rStyle w:val="Hyperlink"/>
          </w:rPr>
          <w:t xml:space="preserve">https://doi.org/10.1016/s0140-6736(20)30752-2</w:t>
        </w:r>
      </w:hyperlink>
      <w:r>
        <w:t xml:space="preserve">.</w:t>
      </w:r>
    </w:p>
    <w:bookmarkEnd w:id="153"/>
    <w:bookmarkStart w:id="155"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54">
        <w:r>
          <w:rPr>
            <w:rStyle w:val="Hyperlink"/>
          </w:rPr>
          <w:t xml:space="preserve">https://doi.org/10.1016/s0140-6736(96)07493-4</w:t>
        </w:r>
      </w:hyperlink>
      <w:r>
        <w:t xml:space="preserve">.</w:t>
      </w:r>
    </w:p>
    <w:bookmarkEnd w:id="155"/>
    <w:bookmarkStart w:id="156" w:name="ref-sassi2006calculating"/>
    <w:p>
      <w:pPr>
        <w:pStyle w:val="Bibliography"/>
      </w:pPr>
      <w:r>
        <w:t xml:space="preserve">Sassi, Franco. 2006.</w:t>
      </w:r>
      <w:r>
        <w:t xml:space="preserve"> </w:t>
      </w:r>
      <w:r>
        <w:t xml:space="preserve">“Calculating QALYs, Comparing QALY and DALY Calculations.”</w:t>
      </w:r>
      <w:r>
        <w:t xml:space="preserve"> </w:t>
      </w:r>
      <w:r>
        <w:rPr>
          <w:iCs/>
          <w:i/>
        </w:rPr>
        <w:t xml:space="preserve">Health Policy and Planning</w:t>
      </w:r>
      <w:r>
        <w:t xml:space="preserve"> </w:t>
      </w:r>
      <w:r>
        <w:t xml:space="preserve">21 (5): 402–8.</w:t>
      </w:r>
    </w:p>
    <w:bookmarkEnd w:id="156"/>
    <w:bookmarkStart w:id="158" w:name="ref-who2020methods"/>
    <w:p>
      <w:pPr>
        <w:pStyle w:val="Bibliography"/>
      </w:pPr>
      <w:r>
        <w:t xml:space="preserve">WHO, Geneva. 2013.</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57">
        <w:r>
          <w:rPr>
            <w:rStyle w:val="Hyperlink"/>
          </w:rPr>
          <w:t xml:space="preserve">https://cdn.who.int/media/docs/default-source/gho-documents/global-health-estimates/ghe2019_daly-methods.pdf</w:t>
        </w:r>
      </w:hyperlink>
      <w:r>
        <w:t xml:space="preserve">.</w:t>
      </w:r>
    </w:p>
    <w:bookmarkEnd w:id="158"/>
    <w:bookmarkStart w:id="160"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59">
        <w:r>
          <w:rPr>
            <w:rStyle w:val="Hyperlink"/>
          </w:rPr>
          <w:t xml:space="preserve">https://doi.org/10.1016/j.jval.2016.04.015</w:t>
        </w:r>
      </w:hyperlink>
      <w:r>
        <w:t xml:space="preserve">.</w:t>
      </w:r>
    </w:p>
    <w:bookmarkEnd w:id="160"/>
    <w:bookmarkEnd w:id="161"/>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62"/>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8">
    <w:p>
      <w:pPr>
        <w:pStyle w:val="FootnoteText"/>
      </w:pPr>
      <w:r>
        <w:rPr>
          <w:rStyle w:val="FootnoteReference"/>
        </w:rPr>
        <w:footnoteRef/>
      </w:r>
      <w:r>
        <w:t xml:space="preserve"> </w:t>
      </w:r>
      <w:r>
        <w:t xml:space="preserve">Practitioners who do not wish to discount DALY outcomes can simply set the annual discount rate</w:t>
      </w:r>
      <w:r>
        <w:t xml:space="preserve"> </w:t>
      </w:r>
      <m:oMath>
        <m:r>
          <m:t>r</m:t>
        </m:r>
      </m:oMath>
      <w:r>
        <w:t xml:space="preserve"> </w:t>
      </w:r>
      <w:r>
        <w:t xml:space="preserve">to zero.</w:t>
      </w:r>
    </w:p>
  </w:footnote>
  <w:footnote w:id="39">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7">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t>m</m:t>
        </m:r>
        <m:r>
          <m:t>a</m:t>
        </m:r>
        <m:r>
          <m:t>t</m:t>
        </m:r>
        <m:r>
          <m:t>h</m:t>
        </m:r>
        <m:r>
          <m:t>b</m:t>
        </m:r>
        <m:r>
          <m:t>f</m:t>
        </m:r>
        <m: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2">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theory.[^comparison]</w:t>
      </w:r>
    </w:p>
  </w:footnote>
  <w:footnote w:id="54">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59">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3">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4">
        <w:r>
          <w:rPr>
            <w:rStyle w:val="Hyperlink"/>
          </w:rPr>
          <w:t xml:space="preserve">example here</w:t>
        </w:r>
      </w:hyperlink>
    </w:p>
  </w:footnote>
  <w:footnote w:id="65">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0">
    <w:p>
      <w:pPr>
        <w:pStyle w:val="FootnoteText"/>
      </w:pPr>
      <w:r>
        <w:rPr>
          <w:rStyle w:val="FootnoteReference"/>
        </w:rPr>
        <w:footnoteRef/>
      </w:r>
      <w:r>
        <w:t xml:space="preserve"> </w:t>
      </w:r>
      <w:r>
        <w:t xml:space="preserve">The method also easily accommodates other common outcomes such as QALYs and costs.</w:t>
      </w:r>
    </w:p>
  </w:footnote>
  <w:footnote w:id="71">
    <w:p>
      <w:pPr>
        <w:pStyle w:val="FootnoteText"/>
      </w:pPr>
      <w:r>
        <w:rPr>
          <w:rStyle w:val="FootnoteReference"/>
        </w:rPr>
        <w:footnoteRef/>
      </w:r>
      <w:r>
        <w:t xml:space="preserve"> </w:t>
      </w:r>
      <w:r>
        <w:t xml:space="preserve">See</w:t>
      </w:r>
      <w:r>
        <w:t xml:space="preserve"> </w:t>
      </w:r>
      <w:r>
        <w:t xml:space="preserve">Henderson and Searle (1981)</w:t>
      </w:r>
      <w:r>
        <w:t xml:space="preserve"> </w:t>
      </w:r>
      <w:r>
        <w:t xml:space="preserve">and Appendix B in</w:t>
      </w:r>
      <w:r>
        <w:t xml:space="preserve"> </w:t>
      </w:r>
      <w:r>
        <w:t xml:space="preserve">Caswell and van Daalen (2021)</w:t>
      </w:r>
      <w:r>
        <w:t xml:space="preserve"> </w:t>
      </w:r>
      <w:r>
        <w:t xml:space="preserve">for further information. A function to construct a vec-permutation matrix is provided within our replication code.</w:t>
      </w:r>
    </w:p>
  </w:footnote>
  <w:footnote w:id="83">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15</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90">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129">
    <w:p>
      <w:pPr>
        <w:pStyle w:val="FootnoteText"/>
      </w:pPr>
      <w:r>
        <w:rPr>
          <w:rStyle w:val="FootnoteReference"/>
        </w:rPr>
        <w:footnoteRef/>
      </w:r>
      <w:r>
        <w:t xml:space="preserve"> </w:t>
      </w:r>
      <w:r>
        <w:t xml:space="preserve">Our R code cannot accomodate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86" Target="media/rId86.png" /><Relationship Type="http://schemas.openxmlformats.org/officeDocument/2006/relationships/image" Id="rId101" Target="media/rId101.png" /><Relationship Type="http://schemas.openxmlformats.org/officeDocument/2006/relationships/image" Id="rId33" Target="media/rId33.svg" /><Relationship Type="http://schemas.openxmlformats.org/officeDocument/2006/relationships/image" Id="rId40" Target="media/rId40.svg" /><Relationship Type="http://schemas.openxmlformats.org/officeDocument/2006/relationships/image" Id="rId55" Target="media/rId55.svg" /><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57" Target="https://cdn.who.int/media/docs/default-source/gho-documents/global-health-estimates/ghe2019_daly-methods.pdf" TargetMode="External" /><Relationship Type="http://schemas.openxmlformats.org/officeDocument/2006/relationships/hyperlink" Id="rId159" Target="https://doi.org/10.1016/j.jval.2016.04.015" TargetMode="External" /><Relationship Type="http://schemas.openxmlformats.org/officeDocument/2006/relationships/hyperlink" Id="rId152" Target="https://doi.org/10.1016/s0140-6736(20)30752-2" TargetMode="External" /><Relationship Type="http://schemas.openxmlformats.org/officeDocument/2006/relationships/hyperlink" Id="rId154" Target="https://doi.org/10.1016/s0140-6736(96)07493-4" TargetMode="External" /><Relationship Type="http://schemas.openxmlformats.org/officeDocument/2006/relationships/hyperlink" Id="rId140" Target="https://doi.org/10.1017/s0266462320000124" TargetMode="External" /><Relationship Type="http://schemas.openxmlformats.org/officeDocument/2006/relationships/hyperlink" Id="rId148" Target="https://doi.org/10.1080/03081088108817379" TargetMode="External" /><Relationship Type="http://schemas.openxmlformats.org/officeDocument/2006/relationships/hyperlink" Id="rId142" Target="https://doi.org/10.1093/heapol/16.3.326" TargetMode="External" /><Relationship Type="http://schemas.openxmlformats.org/officeDocument/2006/relationships/hyperlink" Id="rId146" Target="https://doi.org/10.1177/0272989x21995805" TargetMode="External" /><Relationship Type="http://schemas.openxmlformats.org/officeDocument/2006/relationships/hyperlink" Id="rId138" Target="https://doi.org/10.1186/s12963-018-0165-5" TargetMode="External" /><Relationship Type="http://schemas.openxmlformats.org/officeDocument/2006/relationships/hyperlink" Id="rId132" Target="https://doi.org/10.2139/ssrn.3451311" TargetMode="External" /><Relationship Type="http://schemas.openxmlformats.org/officeDocument/2006/relationships/hyperlink" Id="rId134" Target="https://doi.org/10.34172/ijhpm.2020.244" TargetMode="External" /><Relationship Type="http://schemas.openxmlformats.org/officeDocument/2006/relationships/hyperlink" Id="rId136" Target="https://doi.org/10.4054/demres.2021.45.13" TargetMode="External" /><Relationship Type="http://schemas.openxmlformats.org/officeDocument/2006/relationships/hyperlink" Id="rId144" Target="https://doi.org/10.6069/1D4Y-YQ37" TargetMode="External" /><Relationship Type="http://schemas.openxmlformats.org/officeDocument/2006/relationships/hyperlink" Id="rId20" Target="https://graveja0.github.io/dalys/index-preview.html" TargetMode="External" /><Relationship Type="http://schemas.openxmlformats.org/officeDocument/2006/relationships/hyperlink" Id="rId64"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Ashley Leech; Jinyi Zhu; Marie Martin; Shawn Garbett</dc:creator>
  <cp:keywords>Cost-Effectiveness Analysis, Microsimulation, Discrete Event Simulation, Markov Cohort Models</cp:keywords>
  <dcterms:created xsi:type="dcterms:W3CDTF">2024-03-21T15:02:54Z</dcterms:created>
  <dcterms:modified xsi:type="dcterms:W3CDTF">2024-03-21T15:02:54Z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direct incorporation of multidimensional health outcomes in common decision modeling frameworks, with a particular focus on disability-adjusted life years (DALYs) and its constituent parts—years of life lived with disability (YLDs) and years of life lost to premature mortality (YLLs). Recognizing the wide spectrum of experience and programming comfort level among practitioners, we offer three approaches (beginner, intermediate and advanced). Our beginner approach draws on the Markov trace, while the intermediate approach facilitates more efficient estimation for computationally-intensive exercises (e.g., microsimulation, probabilistic sensitivity analyses) by incorporating non-Markovian tracking elements into transition probability matrices. Finally, our advanced approach adapts methods from mathematical demography. This approach allows for direct calculation of expected values without the need for a Markov trace, and facilitates additional insights because it can also solve for higher-order moments in the health outcome distribution (e.g., variance, skewness). Drawing on an existing disease progression discrete time Markov cohort model, we demonstrate exact or near- numeric equivalence of DALY estimates and cost-effectiveness analysis results across our three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2024-03-21</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Modeling Disability-Adjusted Life Years for Policy and Decision Analysis</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