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0.png" ContentType="image/png"/>
  <Override PartName="/word/media/rId61.png" ContentType="image/png"/>
  <Override PartName="/word/media/rId45.png" ContentType="image/png"/>
  <Override PartName="/word/media/rId76.png" ContentType="image/png"/>
  <Override PartName="/word/media/rId91.png" ContentType="image/png"/>
  <Override PartName="/word/media/rId34.svg" ContentType="image/svg+xml"/>
  <Override PartName="/word/media/rId41.svg" ContentType="image/svg+xml"/>
  <Override PartName="/word/media/rId56.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A.</w:t>
      </w:r>
      <w:r>
        <w:t xml:space="preserve"> </w:t>
      </w:r>
      <w:r>
        <w:t xml:space="preserve">Leech</w:t>
      </w:r>
    </w:p>
    <w:p>
      <w:pPr>
        <w:pStyle w:val="Date"/>
      </w:pPr>
      <w:r>
        <w:t xml:space="preserve">2024-08-14</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outline</w:t>
      </w:r>
      <w:r>
        <w:t xml:space="preserve"> </w:t>
      </w:r>
      <w:r>
        <w:t xml:space="preserve">two</w:t>
      </w:r>
      <w:r>
        <w:t xml:space="preserve"> </w:t>
      </w:r>
      <w:r>
        <w:t xml:space="preserve">approaches</w:t>
      </w:r>
      <w:r>
        <w:t xml:space="preserve"> </w:t>
      </w:r>
      <w:r>
        <w:t xml:space="preserve">for</w:t>
      </w:r>
      <w:r>
        <w:t xml:space="preserve"> </w:t>
      </w:r>
      <w:r>
        <w:t xml:space="preserve">modeling</w:t>
      </w:r>
      <w:r>
        <w:t xml:space="preserve"> </w:t>
      </w:r>
      <w:r>
        <w:t xml:space="preserve">DALYs</w:t>
      </w:r>
      <w:r>
        <w:t xml:space="preserve"> </w:t>
      </w:r>
      <w:r>
        <w:t xml:space="preserve">it</w:t>
      </w:r>
      <w:r>
        <w:t xml:space="preserve"> </w:t>
      </w:r>
      <w:r>
        <w:t xml:space="preserve">its</w:t>
      </w:r>
      <w:r>
        <w:t xml:space="preserve"> </w:t>
      </w:r>
      <w:r>
        <w:t xml:space="preserve">constitutent</w:t>
      </w:r>
      <w:r>
        <w:t xml:space="preserve"> </w:t>
      </w:r>
      <w:r>
        <w:t xml:space="preserve">parts,</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Disease</w:t>
      </w:r>
      <w:r>
        <w:t xml:space="preserve"> </w:t>
      </w:r>
      <w:r>
        <w:t xml:space="preserve">(YLL)</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the</w:t>
      </w:r>
      <w:r>
        <w:t xml:space="preserve"> </w:t>
      </w:r>
      <w:r>
        <w:t xml:space="preserve">transition</w:t>
      </w:r>
      <w:r>
        <w:t xml:space="preserve"> </w:t>
      </w:r>
      <w:r>
        <w:t xml:space="preserve">probability</w:t>
      </w:r>
      <w:r>
        <w:t xml:space="preserve"> </w:t>
      </w:r>
      <w:r>
        <w:t xml:space="preserve">matrix.</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and policy decision-making in high-income countries.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 how 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3"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w:t>
      </w:r>
      <w:r>
        <w:t xml:space="preserve"> </w:t>
      </w:r>
      <w:r>
        <w:t xml:space="preserve">Arnesen and Nord (1999)</w:t>
      </w:r>
      <w:r>
        <w:t xml:space="preserve">,</w:t>
      </w:r>
      <w:r>
        <w:t xml:space="preserve"> </w:t>
      </w:r>
      <w:r>
        <w:t xml:space="preserve">Mathers (2020)</w:t>
      </w:r>
      <w:r>
        <w:t xml:space="preserve"> </w:t>
      </w:r>
      <w:r>
        <w:t xml:space="preserve">and</w:t>
      </w:r>
      <w:r>
        <w:t xml:space="preserve"> </w:t>
      </w:r>
      <w:r>
        <w:t xml:space="preserve">Parks (2014)</w:t>
      </w:r>
      <w:r>
        <w:t xml:space="preserve">.</w:t>
      </w:r>
    </w:p>
    <w:bookmarkStart w:id="26" w:name="years-of-life-lived-with-disability-yld"/>
    <w:p>
      <w:pPr>
        <w:pStyle w:val="Heading3"/>
      </w:pPr>
      <w:r>
        <w:t xml:space="preserve">2.1 Years of Life Lived with Disability (YLD)</w:t>
      </w:r>
    </w:p>
    <w:p>
      <w:pPr>
        <w:pStyle w:val="FirstParagraph"/>
      </w:pPr>
      <w:r>
        <w:t xml:space="preserve">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 Disease Collaborative Network 2024)</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bookmarkEnd w:id="26"/>
    <w:bookmarkStart w:id="29" w:name="years-of-life-lost-to-disease-yll"/>
    <w:p>
      <w:pPr>
        <w:pStyle w:val="Heading3"/>
      </w:pPr>
      <w:r>
        <w:t xml:space="preserve">2.2 Years of Life Lost to Disease (YLL)</w:t>
      </w:r>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7"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7"/>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(Disease Collaborative Network 2021)</w:t>
      </w:r>
      <w:r>
        <w:t xml:space="preserve">.</w:t>
      </w:r>
    </w:p>
    <w:p>
      <w:pPr>
        <w:pStyle w:val="BodyText"/>
      </w:pPr>
      <w:r>
        <w:t xml:space="preserve">Finally, DALYs are simply the sum of these two components:</w:t>
      </w:r>
    </w:p>
    <w:p>
      <w:pPr>
        <w:pStyle w:val="BodyText"/>
      </w:pPr>
      <w:bookmarkStart w:id="28"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8"/>
    </w:p>
    <w:bookmarkEnd w:id="29"/>
    <w:bookmarkStart w:id="32" w:name="discounting"/>
    <w:p>
      <w:pPr>
        <w:pStyle w:val="Heading3"/>
      </w:pPr>
      <w:r>
        <w:t xml:space="preserve">2.3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30"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30"/>
    </w:p>
    <w:p>
      <w:pPr>
        <w:pStyle w:val="FirstParagraph"/>
      </w:pPr>
      <w:r>
        <w:t xml:space="preserve">Similarly, YLLs are calculated as,</w:t>
      </w:r>
    </w:p>
    <w:p>
      <w:pPr>
        <w:pStyle w:val="BodyText"/>
      </w:pPr>
      <w:bookmarkStart w:id="31"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1"/>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 point</w:t>
      </w:r>
      <w:r>
        <w:t xml:space="preserve"> </w:t>
      </w:r>
      <m:oMath>
        <m:r>
          <m:t>t</m:t>
        </m:r>
        <m:r>
          <m:rPr>
            <m:sty m:val="p"/>
          </m:rPr>
          <m:t>=</m:t>
        </m:r>
        <m:r>
          <m:t>0</m:t>
        </m:r>
      </m:oMath>
      <w:r>
        <w:t xml:space="preserve"> </w:t>
      </w:r>
      <w:r>
        <w:t xml:space="preserve">to align outcomes to the same starting point.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2"/>
    <w:bookmarkEnd w:id="33"/>
    <w:bookmarkStart w:id="39"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tbl>
      <w:tblPr>
        <w:tblStyle w:val="Table"/>
        <w:tblW w:type="pct" w:w="5000"/>
        <w:tblLook w:firstRow="0" w:lastRow="0" w:firstColumn="0" w:lastColumn="0" w:noHBand="0" w:noVBand="0" w:val="0000"/>
        <w:jc w:val="start"/>
        <w:tblLayout w:type="fixed"/>
      </w:tblPr>
      <w:tblGrid>
        <w:gridCol w:w="7920"/>
      </w:tblGrid>
      <w:tr>
        <w:tc>
          <w:tcPr/>
          <w:bookmarkStart w:id="37" w:name="fig-model1"/>
          <w:p>
            <w:pPr>
              <w:pStyle w:val="Compact"/>
              <w:jc w:val="center"/>
            </w:pPr>
            <w:r>
              <w:drawing>
                <wp:inline>
                  <wp:extent cx="5943600" cy="3538053"/>
                  <wp:effectExtent b="0" l="0" r="0" t="0"/>
                  <wp:docPr descr="" title="" id="35" name="Picture"/>
                  <a:graphic>
                    <a:graphicData uri="http://schemas.openxmlformats.org/drawingml/2006/picture">
                      <pic:pic>
                        <pic:nvPicPr>
                          <pic:cNvPr descr="images/state-transition-diagram-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8"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body27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9"/>
    <w:bookmarkStart w:id="7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40"/>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6</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4" w:name="Xc0163f341a00390901ec6a96c025e7116abf79c"/>
    <w:p>
      <w:pPr>
        <w:pStyle w:val="Heading3"/>
      </w:pPr>
      <w:r>
        <w:t xml:space="preserve">4.1 Approach 1 (Beginner):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4" w:name="fig-modelDS"/>
          <w:p>
            <w:pPr>
              <w:pStyle w:val="Compact"/>
              <w:jc w:val="center"/>
            </w:pPr>
            <w:r>
              <w:drawing>
                <wp:inline>
                  <wp:extent cx="5943600" cy="3485142"/>
                  <wp:effectExtent b="0" l="0" r="0" t="0"/>
                  <wp:docPr descr="" title="" id="42" name="Picture"/>
                  <a:graphic>
                    <a:graphicData uri="http://schemas.openxmlformats.org/drawingml/2006/picture">
                      <pic:pic>
                        <pic:nvPicPr>
                          <pic:cNvPr descr="images/state-transition-diagram-2.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4"/>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6" name="Picture"/>
            <a:graphic>
              <a:graphicData uri="http://schemas.openxmlformats.org/drawingml/2006/picture">
                <pic:pic>
                  <pic:nvPicPr>
                    <pic:cNvPr descr="images/Q_model2.png" id="47" name="Picture"/>
                    <pic:cNvPicPr>
                      <a:picLocks noChangeArrowheads="1" noChangeAspect="1"/>
                    </pic:cNvPicPr>
                  </pic:nvPicPr>
                  <pic:blipFill>
                    <a:blip r:embed="rId45"/>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8"/>
      </w:r>
    </w:p>
    <w:p>
      <w:pPr>
        <w:pStyle w:val="BodyText"/>
      </w:pPr>
      <w:bookmarkStart w:id="49"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9"/>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1" name="Picture"/>
            <a:graphic>
              <a:graphicData uri="http://schemas.openxmlformats.org/drawingml/2006/picture">
                <pic:pic>
                  <pic:nvPicPr>
                    <pic:cNvPr descr="images/P_model2.png" id="52" name="Picture"/>
                    <pic:cNvPicPr>
                      <a:picLocks noChangeArrowheads="1" noChangeAspect="1"/>
                    </pic:cNvPicPr>
                  </pic:nvPicPr>
                  <pic:blipFill>
                    <a:blip r:embed="rId50"/>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3"/>
      </w:r>
    </w:p>
    <w:bookmarkEnd w:id="54"/>
    <w:bookmarkStart w:id="70"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5"/>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9" w:name="fig-transition"/>
          <w:p>
            <w:pPr>
              <w:pStyle w:val="Compact"/>
              <w:jc w:val="center"/>
            </w:pPr>
            <w:r>
              <w:drawing>
                <wp:inline>
                  <wp:extent cx="5943600" cy="3538053"/>
                  <wp:effectExtent b="0" l="0" r="0" t="0"/>
                  <wp:docPr descr="" title="" id="57" name="Picture"/>
                  <a:graphic>
                    <a:graphicData uri="http://schemas.openxmlformats.org/drawingml/2006/picture">
                      <pic:pic>
                        <pic:nvPicPr>
                          <pic:cNvPr descr="images/state-transition-diagram-3.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9"/>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60"/>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2" name="Picture"/>
            <a:graphic>
              <a:graphicData uri="http://schemas.openxmlformats.org/drawingml/2006/picture">
                <pic:pic>
                  <pic:nvPicPr>
                    <pic:cNvPr descr="images/Q_model1.png" id="63" name="Picture"/>
                    <pic:cNvPicPr>
                      <a:picLocks noChangeArrowheads="1" noChangeAspect="1"/>
                    </pic:cNvPicPr>
                  </pic:nvPicPr>
                  <pic:blipFill>
                    <a:blip r:embed="rId61"/>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4"/>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6"/>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8" name="Picture"/>
            <a:graphic>
              <a:graphicData uri="http://schemas.openxmlformats.org/drawingml/2006/picture">
                <pic:pic>
                  <pic:nvPicPr>
                    <pic:cNvPr descr="images/P_model1.png" id="69" name="Picture"/>
                    <pic:cNvPicPr>
                      <a:picLocks noChangeArrowheads="1" noChangeAspect="1"/>
                    </pic:cNvPicPr>
                  </pic:nvPicPr>
                  <pic:blipFill>
                    <a:blip r:embed="rId67"/>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0"/>
    <w:bookmarkEnd w:id="71"/>
    <w:bookmarkStart w:id="97" w:name="sec-outcomes"/>
    <w:p>
      <w:pPr>
        <w:pStyle w:val="Heading2"/>
      </w:pPr>
      <w:r>
        <w:t xml:space="preserve">5 DALY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5" w:name="markov-trace"/>
    <w:p>
      <w:pPr>
        <w:pStyle w:val="Heading3"/>
      </w:pPr>
      <w:r>
        <w:t xml:space="preserve">5.1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3"/>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5"/>
    <w:bookmarkStart w:id="85" w:name="X5d5c6b39ba62cd5732bf70c32b86e93f397ca88"/>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7" name="Picture"/>
            <a:graphic>
              <a:graphicData uri="http://schemas.openxmlformats.org/drawingml/2006/picture">
                <pic:pic>
                  <pic:nvPicPr>
                    <pic:cNvPr descr="images/d_yld.png" id="78" name="Picture"/>
                    <pic:cNvPicPr>
                      <a:picLocks noChangeArrowheads="1" noChangeAspect="1"/>
                    </pic:cNvPicPr>
                  </pic:nvPicPr>
                  <pic:blipFill>
                    <a:blip r:embed="rId7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7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7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8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81"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81"/>
    </w:p>
    <w:p>
      <w:pPr>
        <w:pStyle w:val="FirstParagraph"/>
      </w:pPr>
      <w:r>
        <w:t xml:space="preserve">Total discounted YLDs are obtained by summing cycle-specific discounted YLD outcomes,</w:t>
      </w:r>
    </w:p>
    <w:p>
      <w:pPr>
        <w:pStyle w:val="BodyText"/>
      </w:pPr>
      <w:bookmarkStart w:id="8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2"/>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r>
        <w:t xml:space="preserve"> </w:t>
      </w:r>
      <w:r>
        <w:t xml:space="preserve">(Elbasha and Chhatwal 2015)</w:t>
      </w:r>
      <w:r>
        <w:t xml:space="preserve">.</w:t>
      </w:r>
    </w:p>
    <w:p>
      <w:pPr>
        <w:pStyle w:val="BodyText"/>
      </w:pPr>
      <w:r>
        <w:t xml:space="preserve">Finally, an equivalent way to calculate YLD outcomes is through matrix multiplication of the Markov trace matrix and the YLD payoff vector,</w:t>
      </w:r>
    </w:p>
    <w:p>
      <w:pPr>
        <w:pStyle w:val="BodyText"/>
      </w:pPr>
      <w:bookmarkStart w:id="8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5"/>
    <w:bookmarkStart w:id="9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m:oMath>
        <m:r>
          <m:rPr>
            <m:nor/>
            <m:sty m:val="p"/>
            <m:scr m:val="monospace"/>
          </m:rPr>
          <m:t>DS</m:t>
        </m:r>
      </m:oMath>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8"/>
    </w:p>
    <w:p>
      <w:pPr>
        <w:pStyle w:val="FirstParagraph"/>
      </w:pPr>
      <w:r>
        <w:t xml:space="preserve">Total discounted YLLs are given by,</w:t>
      </w:r>
    </w:p>
    <w:p>
      <w:pPr>
        <w:pStyle w:val="BodyText"/>
      </w:pPr>
      <w:bookmarkStart w:id="8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89"/>
    </w:p>
    <w:bookmarkEnd w:id="90"/>
    <w:bookmarkStart w:id="9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m:oMath>
        <m:r>
          <m:rPr>
            <m:nor/>
            <m:sty m:val="p"/>
            <m:scr m:val="monospace"/>
          </m:rPr>
          <m:t>trDS</m:t>
        </m:r>
      </m:oMath>
      <w:r>
        <w:t xml:space="preserve">) and zeros elsewhere,</w:t>
      </w:r>
    </w:p>
    <w:p>
      <w:pPr>
        <w:pStyle w:val="BodyText"/>
      </w:pPr>
      <w:r>
        <w:drawing>
          <wp:inline>
            <wp:extent cx="2377440" cy="1217998"/>
            <wp:effectExtent b="0" l="0" r="0" t="0"/>
            <wp:docPr descr="" title="" id="92" name="Picture"/>
            <a:graphic>
              <a:graphicData uri="http://schemas.openxmlformats.org/drawingml/2006/picture">
                <pic:pic>
                  <pic:nvPicPr>
                    <pic:cNvPr descr="images/d_yll.png" id="93" name="Picture"/>
                    <pic:cNvPicPr>
                      <a:picLocks noChangeArrowheads="1" noChangeAspect="1"/>
                    </pic:cNvPicPr>
                  </pic:nvPicPr>
                  <pic:blipFill>
                    <a:blip r:embed="rId9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6"/>
    <w:bookmarkEnd w:id="97"/>
    <w:bookmarkStart w:id="102" w:name="sec-results"/>
    <w:p>
      <w:pPr>
        <w:pStyle w:val="Heading2"/>
      </w:pPr>
      <w:r>
        <w:t xml:space="preserve">6 Results</w:t>
      </w:r>
    </w:p>
    <w:bookmarkStart w:id="99" w:name="Xa02540c6f59e24771de06959257959ed2b453e9"/>
    <w:p>
      <w:pPr>
        <w:pStyle w:val="Heading3"/>
      </w:pPr>
      <w:r>
        <w:t xml:space="preserve">6.1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98"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9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9"/>
    <w:bookmarkStart w:id="101" w:name="X6f6046c3d1a4b56f5249b5bc60f64bef24ea41a"/>
    <w:p>
      <w:pPr>
        <w:pStyle w:val="Heading3"/>
      </w:pPr>
      <w:r>
        <w:t xml:space="preserve">6.2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100"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100"/>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101"/>
    <w:bookmarkEnd w:id="102"/>
    <w:bookmarkStart w:id="104" w:name="discussion"/>
    <w:p>
      <w:pPr>
        <w:pStyle w:val="Heading2"/>
      </w:pPr>
      <w:r>
        <w:t xml:space="preserve">7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3"/>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approache facilitates the estimation of other common outcomes such as QALYs, life-years, etc.</w:t>
      </w:r>
    </w:p>
    <w:bookmarkEnd w:id="104"/>
    <w:bookmarkStart w:id="139" w:name="references"/>
    <w:p>
      <w:pPr>
        <w:pStyle w:val="Heading2"/>
      </w:pPr>
      <w:r>
        <w:t xml:space="preserve">References</w:t>
      </w:r>
    </w:p>
    <w:bookmarkStart w:id="138" w:name="refs"/>
    <w:bookmarkStart w:id="105"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5"/>
    <w:bookmarkStart w:id="107"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06">
        <w:r>
          <w:rPr>
            <w:rStyle w:val="Hyperlink"/>
          </w:rPr>
          <w:t xml:space="preserve">https://doi.org/10.2139/ssrn.3451311</w:t>
        </w:r>
      </w:hyperlink>
      <w:r>
        <w:t xml:space="preserve">.</w:t>
      </w:r>
    </w:p>
    <w:bookmarkEnd w:id="107"/>
    <w:bookmarkStart w:id="109" w:name="ref-arnesen1999"/>
    <w:p>
      <w:pPr>
        <w:pStyle w:val="Bibliography"/>
      </w:pPr>
      <w:r>
        <w:t xml:space="preserve">Arnesen, T., and E. Nord. 1999.</w:t>
      </w:r>
      <w:r>
        <w:t xml:space="preserve"> </w:t>
      </w:r>
      <w:r>
        <w:t xml:space="preserve">“The Value of DALY Life: Problems with Ethics and Validity of Disability Adjusted Life Years.”</w:t>
      </w:r>
      <w:r>
        <w:t xml:space="preserve"> </w:t>
      </w:r>
      <w:r>
        <w:rPr>
          <w:iCs/>
          <w:i/>
        </w:rPr>
        <w:t xml:space="preserve">BMJ</w:t>
      </w:r>
      <w:r>
        <w:t xml:space="preserve"> </w:t>
      </w:r>
      <w:r>
        <w:t xml:space="preserve">319 (7222): 1423–25.</w:t>
      </w:r>
      <w:r>
        <w:t xml:space="preserve"> </w:t>
      </w:r>
      <w:hyperlink r:id="rId108">
        <w:r>
          <w:rPr>
            <w:rStyle w:val="Hyperlink"/>
          </w:rPr>
          <w:t xml:space="preserve">https://doi.org/10.1136/bmj.319.7222.1423</w:t>
        </w:r>
      </w:hyperlink>
      <w:r>
        <w:t xml:space="preserve">.</w:t>
      </w:r>
    </w:p>
    <w:bookmarkEnd w:id="109"/>
    <w:bookmarkStart w:id="111"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10">
        <w:r>
          <w:rPr>
            <w:rStyle w:val="Hyperlink"/>
          </w:rPr>
          <w:t xml:space="preserve">https://doi.org/10.34172/ijhpm.2020.244</w:t>
        </w:r>
      </w:hyperlink>
      <w:r>
        <w:t xml:space="preserve">.</w:t>
      </w:r>
    </w:p>
    <w:bookmarkEnd w:id="111"/>
    <w:bookmarkStart w:id="113" w:name="Xbb1be6a14052dc7db1b873668128cce3adcbadf"/>
    <w:p>
      <w:pPr>
        <w:pStyle w:val="Bibliography"/>
      </w:pPr>
      <w:r>
        <w:t xml:space="preserve">Disease Collaborative Network, Global Burden of.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2">
        <w:r>
          <w:rPr>
            <w:rStyle w:val="Hyperlink"/>
          </w:rPr>
          <w:t xml:space="preserve">https://doi.org/10.6069/1D4Y-YQ37</w:t>
        </w:r>
      </w:hyperlink>
      <w:r>
        <w:t xml:space="preserve">.</w:t>
      </w:r>
    </w:p>
    <w:bookmarkEnd w:id="113"/>
    <w:bookmarkStart w:id="115" w:name="X8a856f6375b010b84762344a9a275d82a44ebde"/>
    <w:p>
      <w:pPr>
        <w:pStyle w:val="Bibliography"/>
      </w:pPr>
      <w:r>
        <w:t xml:space="preserve">———. 2024.</w:t>
      </w:r>
      <w:r>
        <w:t xml:space="preserve"> </w:t>
      </w:r>
      <w:r>
        <w:t xml:space="preserve">“Global Burden of Disease Study 2021 Disability Weights.”</w:t>
      </w:r>
      <w:r>
        <w:t xml:space="preserve"> </w:t>
      </w:r>
      <w:r>
        <w:rPr>
          <w:iCs/>
          <w:i/>
        </w:rPr>
        <w:t xml:space="preserve">Global Burden of Disease Study</w:t>
      </w:r>
      <w:r>
        <w:t xml:space="preserve">.</w:t>
      </w:r>
      <w:r>
        <w:t xml:space="preserve"> </w:t>
      </w:r>
      <w:hyperlink r:id="rId114">
        <w:r>
          <w:rPr>
            <w:rStyle w:val="Hyperlink"/>
          </w:rPr>
          <w:t xml:space="preserve">https://ghdx.healthdata.org/record/ihme-data/gbd-2021-disability-weights#:~:text=Disability%20weights%2C%20which%20represent%20the,health%20and%201%20equals%20death</w:t>
        </w:r>
      </w:hyperlink>
      <w:r>
        <w:t xml:space="preserve">.</w:t>
      </w:r>
    </w:p>
    <w:bookmarkEnd w:id="115"/>
    <w:bookmarkStart w:id="117" w:name="ref-elbasha2015"/>
    <w:p>
      <w:pPr>
        <w:pStyle w:val="Bibliography"/>
      </w:pPr>
      <w:r>
        <w:t xml:space="preserve">Elbasha, Elamin H., and Jagpreet Chhatwal. 2015.</w:t>
      </w:r>
      <w:r>
        <w:t xml:space="preserve"> </w:t>
      </w:r>
      <w:r>
        <w:t xml:space="preserve">“Theoretical Foundations and Practical Applications of Within-Cycle Correction Methods.”</w:t>
      </w:r>
      <w:r>
        <w:t xml:space="preserve"> </w:t>
      </w:r>
      <w:r>
        <w:rPr>
          <w:iCs/>
          <w:i/>
        </w:rPr>
        <w:t xml:space="preserve">Medical Decision Making</w:t>
      </w:r>
      <w:r>
        <w:t xml:space="preserve"> </w:t>
      </w:r>
      <w:r>
        <w:t xml:space="preserve">36 (1): 115–31.</w:t>
      </w:r>
      <w:r>
        <w:t xml:space="preserve"> </w:t>
      </w:r>
      <w:hyperlink r:id="rId116">
        <w:r>
          <w:rPr>
            <w:rStyle w:val="Hyperlink"/>
          </w:rPr>
          <w:t xml:space="preserve">https://doi.org/10.1177/0272989x15585121</w:t>
        </w:r>
      </w:hyperlink>
      <w:r>
        <w:t xml:space="preserve">.</w:t>
      </w:r>
    </w:p>
    <w:bookmarkEnd w:id="117"/>
    <w:bookmarkStart w:id="119"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18">
        <w:r>
          <w:rPr>
            <w:rStyle w:val="Hyperlink"/>
          </w:rPr>
          <w:t xml:space="preserve">https://doi.org/10.1017/s0266462320000124</w:t>
        </w:r>
      </w:hyperlink>
      <w:r>
        <w:t xml:space="preserve">.</w:t>
      </w:r>
    </w:p>
    <w:bookmarkEnd w:id="119"/>
    <w:bookmarkStart w:id="121"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20">
        <w:r>
          <w:rPr>
            <w:rStyle w:val="Hyperlink"/>
          </w:rPr>
          <w:t xml:space="preserve">https://doi.org/10.1093/heapol/16.3.326</w:t>
        </w:r>
      </w:hyperlink>
      <w:r>
        <w:t xml:space="preserve">.</w:t>
      </w:r>
    </w:p>
    <w:bookmarkEnd w:id="121"/>
    <w:bookmarkStart w:id="123"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22">
        <w:r>
          <w:rPr>
            <w:rStyle w:val="Hyperlink"/>
          </w:rPr>
          <w:t xml:space="preserve">https://doi.org/10.1177/0272989x21995805</w:t>
        </w:r>
      </w:hyperlink>
      <w:r>
        <w:t xml:space="preserve">.</w:t>
      </w:r>
    </w:p>
    <w:bookmarkEnd w:id="123"/>
    <w:bookmarkStart w:id="124"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24"/>
    <w:bookmarkStart w:id="125"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25"/>
    <w:bookmarkStart w:id="127" w:name="ref-mathers2020"/>
    <w:p>
      <w:pPr>
        <w:pStyle w:val="Bibliography"/>
      </w:pPr>
      <w:r>
        <w:t xml:space="preserve">Mathers, Colin D. 2020.</w:t>
      </w:r>
      <w:r>
        <w:t xml:space="preserve"> </w:t>
      </w:r>
      <w:r>
        <w:t xml:space="preserve">“History of Global Burden of Disease Assessment at the World Health Organization.”</w:t>
      </w:r>
      <w:r>
        <w:t xml:space="preserve"> </w:t>
      </w:r>
      <w:r>
        <w:rPr>
          <w:iCs/>
          <w:i/>
        </w:rPr>
        <w:t xml:space="preserve">Archives of Public Health</w:t>
      </w:r>
      <w:r>
        <w:t xml:space="preserve"> </w:t>
      </w:r>
      <w:r>
        <w:t xml:space="preserve">78 (1).</w:t>
      </w:r>
      <w:r>
        <w:t xml:space="preserve"> </w:t>
      </w:r>
      <w:hyperlink r:id="rId126">
        <w:r>
          <w:rPr>
            <w:rStyle w:val="Hyperlink"/>
          </w:rPr>
          <w:t xml:space="preserve">https://doi.org/10.1186/s13690-020-00458-3</w:t>
        </w:r>
      </w:hyperlink>
      <w:r>
        <w:t xml:space="preserve">.</w:t>
      </w:r>
    </w:p>
    <w:bookmarkEnd w:id="127"/>
    <w:bookmarkStart w:id="129"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28">
        <w:r>
          <w:rPr>
            <w:rStyle w:val="Hyperlink"/>
          </w:rPr>
          <w:t xml:space="preserve">https://doi.org/10.1016/s0140-6736(20)30752-2</w:t>
        </w:r>
      </w:hyperlink>
      <w:r>
        <w:t xml:space="preserve">.</w:t>
      </w:r>
    </w:p>
    <w:bookmarkEnd w:id="129"/>
    <w:bookmarkStart w:id="131"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30">
        <w:r>
          <w:rPr>
            <w:rStyle w:val="Hyperlink"/>
          </w:rPr>
          <w:t xml:space="preserve">https://doi.org/10.1016/s0140-6736(96)07493-4</w:t>
        </w:r>
      </w:hyperlink>
      <w:r>
        <w:t xml:space="preserve">.</w:t>
      </w:r>
    </w:p>
    <w:bookmarkEnd w:id="131"/>
    <w:bookmarkStart w:id="133" w:name="ref-parks2014"/>
    <w:p>
      <w:pPr>
        <w:pStyle w:val="Bibliography"/>
      </w:pPr>
      <w:r>
        <w:t xml:space="preserve">Parks, Rachel. 2014.</w:t>
      </w:r>
      <w:r>
        <w:t xml:space="preserve"> </w:t>
      </w:r>
      <w:r>
        <w:t xml:space="preserve">“The Rise, Critique and Persistence of the DALY in Global Health.”</w:t>
      </w:r>
      <w:r>
        <w:t xml:space="preserve"> </w:t>
      </w:r>
      <w:r>
        <w:rPr>
          <w:iCs/>
          <w:i/>
        </w:rPr>
        <w:t xml:space="preserve">The Journal of Global Health at Columbia University</w:t>
      </w:r>
      <w:r>
        <w:t xml:space="preserve">, April, Vol. 4 No. 1 (2014): Spring 2014.</w:t>
      </w:r>
      <w:r>
        <w:t xml:space="preserve"> </w:t>
      </w:r>
      <w:hyperlink r:id="rId132">
        <w:r>
          <w:rPr>
            <w:rStyle w:val="Hyperlink"/>
          </w:rPr>
          <w:t xml:space="preserve">https://doi.org/10.7916/THEJGH.V4I1.4893</w:t>
        </w:r>
      </w:hyperlink>
      <w:r>
        <w:t xml:space="preserve">.</w:t>
      </w:r>
    </w:p>
    <w:bookmarkEnd w:id="133"/>
    <w:bookmarkStart w:id="135"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34">
        <w:r>
          <w:rPr>
            <w:rStyle w:val="Hyperlink"/>
          </w:rPr>
          <w:t xml:space="preserve">https://cdn.who.int/media/docs/default-source/gho-documents/global-health-estimates/ghe2019_daly-methods.pdf</w:t>
        </w:r>
      </w:hyperlink>
      <w:r>
        <w:t xml:space="preserve">.</w:t>
      </w:r>
    </w:p>
    <w:bookmarkEnd w:id="135"/>
    <w:bookmarkStart w:id="137"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36">
        <w:r>
          <w:rPr>
            <w:rStyle w:val="Hyperlink"/>
          </w:rPr>
          <w:t xml:space="preserve">https://doi.org/10.1016/j.jval.2016.04.015</w:t>
        </w:r>
      </w:hyperlink>
      <w:r>
        <w:t xml:space="preserve">.</w:t>
      </w:r>
    </w:p>
    <w:bookmarkEnd w:id="137"/>
    <w:bookmarkEnd w:id="138"/>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39"/>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40">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8">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rPr>
            <m:sty m:val="b"/>
          </m:rP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3">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5">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60">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4">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5">
        <w:r>
          <w:rPr>
            <w:rStyle w:val="Hyperlink"/>
          </w:rPr>
          <w:t xml:space="preserve">example here</w:t>
        </w:r>
      </w:hyperlink>
    </w:p>
  </w:footnote>
  <w:footnote w:id="66">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03">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76" Target="media/rId76.png" /><Relationship Type="http://schemas.openxmlformats.org/officeDocument/2006/relationships/image" Id="rId91" Target="media/rId91.png" /><Relationship Type="http://schemas.openxmlformats.org/officeDocument/2006/relationships/image" Id="rId34" Target="media/rId34.svg" /><Relationship Type="http://schemas.openxmlformats.org/officeDocument/2006/relationships/image" Id="rId41" Target="media/rId41.svg" /><Relationship Type="http://schemas.openxmlformats.org/officeDocument/2006/relationships/image" Id="rId56" Target="media/rId56.svg" /><Relationship Type="http://schemas.openxmlformats.org/officeDocument/2006/relationships/hyperlink" Id="rId134" Target="https://cdn.who.int/media/docs/default-source/gho-documents/global-health-estimates/ghe2019_daly-methods.pdf" TargetMode="External" /><Relationship Type="http://schemas.openxmlformats.org/officeDocument/2006/relationships/hyperlink" Id="rId136"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34" Target="https://cdn.who.int/media/docs/default-source/gho-documents/global-health-estimates/ghe2019_daly-methods.pdf" TargetMode="External" /><Relationship Type="http://schemas.openxmlformats.org/officeDocument/2006/relationships/hyperlink" Id="rId136"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Hannah Peterson; Marie Martin; Shawn Garbett; Ashley A. Leech</dc:creator>
  <cp:keywords>Cost-Effectiveness Analysis, Microsimulation, Discrete Event Simulation, Markov Cohort Models</cp:keywords>
  <dcterms:created xsi:type="dcterms:W3CDTF">2024-08-14T14:37:34Z</dcterms:created>
  <dcterms:modified xsi:type="dcterms:W3CDTF">2024-08-14T14:37:34Z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modeling disability-adjusted life years (DALYs) in common decision modeling frameworks. Recognizing the wide spectrum of experience and programming comfort level among practitioners, we outline two approaches for modeling DALYs it its constitutent parts, Years of Life Lost to Disease (YLL) and Years of Life Lived with Disability (YLD). Our beginner approach draws on the Markov trace, while the intermediate approach facilitates more efficient estimation by incorporating non-Markovian tracking elements into the transition probability matrix. Drawing on an existing disease progression discrete time Markov cohort model, we demonstrate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2024-08-14</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plain-language-summary">
    <vt:lpwstr>Modeling Disability-Adjusted Life Years for Policy and Decision Analysis: A Tutorial</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