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51.png" ContentType="image/png"/>
  <Override PartName="/word/media/rId62.png" ContentType="image/png"/>
  <Override PartName="/word/media/rId46.png" ContentType="image/png"/>
  <Override PartName="/word/media/rId77.png" ContentType="image/png"/>
  <Override PartName="/word/media/rId92.png" ContentType="image/png"/>
  <Override PartName="/word/media/rId35.svg" ContentType="image/svg+xml"/>
  <Override PartName="/word/media/rId42.svg" ContentType="image/svg+xml"/>
  <Override PartName="/word/media/rId57.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r>
        <w:t xml:space="preserve"> </w:t>
      </w:r>
      <w:r>
        <w:t xml:space="preserve">A</w:t>
      </w:r>
      <w:r>
        <w:t xml:space="preserve"> </w:t>
      </w:r>
      <w:r>
        <w:t xml:space="preserve">Tutorial</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2024-08-22</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1"/>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4" w:name="sec-background"/>
    <w:p>
      <w:pPr>
        <w:pStyle w:val="Heading1"/>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2"/>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8" w:name="years-of-life-lost-to-disease-yll"/>
    <w:p>
      <w:pPr>
        <w:pStyle w:val="Heading2"/>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bookmarkEnd w:id="28"/>
    <w:bookmarkStart w:id="30" w:name="disability-adjusted-life-years"/>
    <w:p>
      <w:pPr>
        <w:pStyle w:val="Heading2"/>
      </w:pPr>
      <w:r>
        <w:t xml:space="preserve">2.3 Disability-Adjusted Life Years</w:t>
      </w:r>
    </w:p>
    <w:p>
      <w:pPr>
        <w:pStyle w:val="FirstParagraph"/>
      </w:pPr>
      <w:r>
        <w:t xml:space="preserve">DALYs are simply the sum of these two components:</w:t>
      </w:r>
    </w:p>
    <w:p>
      <w:pPr>
        <w:pStyle w:val="BodyText"/>
      </w:pPr>
      <w:bookmarkStart w:id="29"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9"/>
    </w:p>
    <w:bookmarkEnd w:id="30"/>
    <w:bookmarkStart w:id="33" w:name="discounting"/>
    <w:p>
      <w:pPr>
        <w:pStyle w:val="Heading2"/>
      </w:pPr>
      <w:r>
        <w:t xml:space="preserve">2.4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since YLL values draw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1"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1"/>
    </w:p>
    <w:p>
      <w:pPr>
        <w:pStyle w:val="FirstParagraph"/>
      </w:pPr>
      <w:r>
        <w:t xml:space="preserve">Similarly, YLLs are calculated as,</w:t>
      </w:r>
    </w:p>
    <w:p>
      <w:pPr>
        <w:pStyle w:val="BodyText"/>
      </w:pPr>
      <w:bookmarkStart w:id="32"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2"/>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4.2</w:t>
        </w:r>
      </w:hyperlink>
      <w:r>
        <w:t xml:space="preserve"> </w:t>
      </w:r>
      <w:r>
        <w:t xml:space="preserve">below.</w:t>
      </w:r>
    </w:p>
    <w:bookmarkEnd w:id="33"/>
    <w:bookmarkEnd w:id="34"/>
    <w:bookmarkStart w:id="40" w:name="sec-overview"/>
    <w:p>
      <w:pPr>
        <w:pStyle w:val="Heading1"/>
      </w:pPr>
      <w:r>
        <w:t xml:space="preserve">3. Overview of Decision Problem</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tbl>
      <w:tblPr>
        <w:tblStyle w:val="Table"/>
        <w:tblW w:type="pct" w:w="5000"/>
        <w:tblLook w:firstRow="0" w:lastRow="0" w:firstColumn="0" w:lastColumn="0" w:noHBand="0" w:noVBand="0" w:val="0000"/>
        <w:jc w:val="start"/>
        <w:tblLayout w:type="fixed"/>
      </w:tblPr>
      <w:tblGrid>
        <w:gridCol w:w="7920"/>
      </w:tblGrid>
      <w:tr>
        <w:tc>
          <w:tcPr/>
          <w:bookmarkStart w:id="38" w:name="fig-model1"/>
          <w:p>
            <w:pPr>
              <w:pStyle w:val="Compact"/>
              <w:jc w:val="center"/>
            </w:pPr>
            <w:r>
              <w:drawing>
                <wp:inline>
                  <wp:extent cx="5943600" cy="3538053"/>
                  <wp:effectExtent b="0" l="0" r="0" t="0"/>
                  <wp:docPr descr="" title="" id="36" name="Picture"/>
                  <a:graphic>
                    <a:graphicData uri="http://schemas.openxmlformats.org/drawingml/2006/picture">
                      <pic:pic>
                        <pic:nvPicPr>
                          <pic:cNvPr descr="images/state-transition-diagram-1.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9"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body27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9"/>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40"/>
    <w:bookmarkStart w:id="101" w:name="methods"/>
    <w:p>
      <w:pPr>
        <w:pStyle w:val="Heading1"/>
      </w:pPr>
      <w:r>
        <w:t xml:space="preserve">4. Methods</w:t>
      </w:r>
    </w:p>
    <w:bookmarkStart w:id="72" w:name="transition-matrices"/>
    <w:p>
      <w:pPr>
        <w:pStyle w:val="Heading2"/>
      </w:pPr>
      <w:r>
        <w:t xml:space="preserve">4.1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1"/>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5</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5" w:name="X36e98877ec6117d2479637a3e6b193040c30012"/>
    <w:p>
      <w:pPr>
        <w:pStyle w:val="Heading3"/>
      </w:pPr>
      <w:r>
        <w:t xml:space="preserve">4.1.1 Beginner Approach (1):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5" w:name="fig-modelDS"/>
          <w:p>
            <w:pPr>
              <w:pStyle w:val="Compact"/>
              <w:jc w:val="center"/>
            </w:pPr>
            <w:r>
              <w:drawing>
                <wp:inline>
                  <wp:extent cx="5943600" cy="3485142"/>
                  <wp:effectExtent b="0" l="0" r="0" t="0"/>
                  <wp:docPr descr="" title="" id="43" name="Picture"/>
                  <a:graphic>
                    <a:graphicData uri="http://schemas.openxmlformats.org/drawingml/2006/picture">
                      <pic:pic>
                        <pic:nvPicPr>
                          <pic:cNvPr descr="images/state-transition-diagram-2.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5"/>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7" name="Picture"/>
            <a:graphic>
              <a:graphicData uri="http://schemas.openxmlformats.org/drawingml/2006/picture">
                <pic:pic>
                  <pic:nvPicPr>
                    <pic:cNvPr descr="images/Q_model2.png" id="48" name="Picture"/>
                    <pic:cNvPicPr>
                      <a:picLocks noChangeArrowheads="1" noChangeAspect="1"/>
                    </pic:cNvPicPr>
                  </pic:nvPicPr>
                  <pic:blipFill>
                    <a:blip r:embed="rId46"/>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9"/>
      </w:r>
    </w:p>
    <w:p>
      <w:pPr>
        <w:pStyle w:val="BodyText"/>
      </w:pPr>
      <w:bookmarkStart w:id="50"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50"/>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2" name="Picture"/>
            <a:graphic>
              <a:graphicData uri="http://schemas.openxmlformats.org/drawingml/2006/picture">
                <pic:pic>
                  <pic:nvPicPr>
                    <pic:cNvPr descr="images/P_model2.png" id="53" name="Picture"/>
                    <pic:cNvPicPr>
                      <a:picLocks noChangeArrowheads="1" noChangeAspect="1"/>
                    </pic:cNvPicPr>
                  </pic:nvPicPr>
                  <pic:blipFill>
                    <a:blip r:embed="rId51"/>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4"/>
      </w:r>
    </w:p>
    <w:bookmarkEnd w:id="55"/>
    <w:bookmarkStart w:id="71" w:name="X7f3f12469eb40b030d42b97dfca3f76331d8339"/>
    <w:p>
      <w:pPr>
        <w:pStyle w:val="Heading3"/>
      </w:pPr>
      <w:r>
        <w:t xml:space="preserve">4.1.2 Intermediate Approach (2):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6"/>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60" w:name="fig-transition"/>
          <w:p>
            <w:pPr>
              <w:pStyle w:val="Compact"/>
              <w:jc w:val="center"/>
            </w:pPr>
            <w:r>
              <w:drawing>
                <wp:inline>
                  <wp:extent cx="5943600" cy="3538053"/>
                  <wp:effectExtent b="0" l="0" r="0" t="0"/>
                  <wp:docPr descr="" title="" id="58" name="Picture"/>
                  <a:graphic>
                    <a:graphicData uri="http://schemas.openxmlformats.org/drawingml/2006/picture">
                      <pic:pic>
                        <pic:nvPicPr>
                          <pic:cNvPr descr="images/state-transition-diagram-3.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60"/>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1"/>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3" name="Picture"/>
            <a:graphic>
              <a:graphicData uri="http://schemas.openxmlformats.org/drawingml/2006/picture">
                <pic:pic>
                  <pic:nvPicPr>
                    <pic:cNvPr descr="images/Q_model1.png" id="64" name="Picture"/>
                    <pic:cNvPicPr>
                      <a:picLocks noChangeArrowheads="1" noChangeAspect="1"/>
                    </pic:cNvPicPr>
                  </pic:nvPicPr>
                  <pic:blipFill>
                    <a:blip r:embed="rId62"/>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5"/>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7"/>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9" name="Picture"/>
            <a:graphic>
              <a:graphicData uri="http://schemas.openxmlformats.org/drawingml/2006/picture">
                <pic:pic>
                  <pic:nvPicPr>
                    <pic:cNvPr descr="images/P_model1.png" id="70" name="Picture"/>
                    <pic:cNvPicPr>
                      <a:picLocks noChangeArrowheads="1" noChangeAspect="1"/>
                    </pic:cNvPicPr>
                  </pic:nvPicPr>
                  <pic:blipFill>
                    <a:blip r:embed="rId68"/>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1"/>
    <w:bookmarkEnd w:id="72"/>
    <w:bookmarkStart w:id="100" w:name="sec-outcomes"/>
    <w:p>
      <w:pPr>
        <w:pStyle w:val="Heading2"/>
      </w:pPr>
      <w:r>
        <w:t xml:space="preserve">4.2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6" w:name="markov-trace"/>
    <w:p>
      <w:pPr>
        <w:pStyle w:val="Heading3"/>
      </w:pPr>
      <w:r>
        <w:t xml:space="preserve">4.2.1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3"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3"/>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4"/>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5"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5"/>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6"/>
    <w:bookmarkStart w:id="86" w:name="X5d5c6b39ba62cd5732bf70c32b86e93f397ca88"/>
    <w:p>
      <w:pPr>
        <w:pStyle w:val="Heading3"/>
      </w:pPr>
      <w:r>
        <w:t xml:space="preserve">4.2.2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8" name="Picture"/>
            <a:graphic>
              <a:graphicData uri="http://schemas.openxmlformats.org/drawingml/2006/picture">
                <pic:pic>
                  <pic:nvPicPr>
                    <pic:cNvPr descr="images/d_yld.png" id="79" name="Picture"/>
                    <pic:cNvPicPr>
                      <a:picLocks noChangeArrowheads="1" noChangeAspect="1"/>
                    </pic:cNvPicPr>
                  </pic:nvPicPr>
                  <pic:blipFill>
                    <a:blip r:embed="rId77"/>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0"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80"/>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1"/>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2"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2"/>
    </w:p>
    <w:p>
      <w:pPr>
        <w:pStyle w:val="FirstParagraph"/>
      </w:pPr>
      <w:r>
        <w:t xml:space="preserve">Total discounted YLDs are obtained by summing cycle-specific discounted YLD outcomes,</w:t>
      </w:r>
    </w:p>
    <w:p>
      <w:pPr>
        <w:pStyle w:val="BodyText"/>
      </w:pPr>
      <w:bookmarkStart w:id="83"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3"/>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4"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4"/>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5"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5"/>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6"/>
    <w:bookmarkStart w:id="91" w:name="Xb3bef7c4057894b8d07aa19f3ffbd570d2c3628"/>
    <w:p>
      <w:pPr>
        <w:pStyle w:val="Heading3"/>
      </w:pPr>
      <w:r>
        <w:t xml:space="preserve">4.2.3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7"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7"/>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8"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8"/>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9"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9"/>
    </w:p>
    <w:p>
      <w:pPr>
        <w:pStyle w:val="FirstParagraph"/>
      </w:pPr>
      <w:r>
        <w:t xml:space="preserve">Total discounted YLLs are given by,</w:t>
      </w:r>
    </w:p>
    <w:p>
      <w:pPr>
        <w:pStyle w:val="BodyText"/>
      </w:pPr>
      <w:bookmarkStart w:id="90"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90"/>
    </w:p>
    <w:bookmarkEnd w:id="91"/>
    <w:bookmarkStart w:id="97" w:name="X44799b0392508918d8874fd08d4455d69a16b6b"/>
    <w:p>
      <w:pPr>
        <w:pStyle w:val="Heading3"/>
      </w:pPr>
      <w:r>
        <w:t xml:space="preserve">4.2.4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3" name="Picture"/>
            <a:graphic>
              <a:graphicData uri="http://schemas.openxmlformats.org/drawingml/2006/picture">
                <pic:pic>
                  <pic:nvPicPr>
                    <pic:cNvPr descr="images/d_yll.png" id="94" name="Picture"/>
                    <pic:cNvPicPr>
                      <a:picLocks noChangeArrowheads="1" noChangeAspect="1"/>
                    </pic:cNvPicPr>
                  </pic:nvPicPr>
                  <pic:blipFill>
                    <a:blip r:embed="rId92"/>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5"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5"/>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6"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6"/>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7"/>
    <w:bookmarkStart w:id="99" w:name="daly-shortcut-methods"/>
    <w:p>
      <w:pPr>
        <w:pStyle w:val="Heading3"/>
      </w:pPr>
      <w:r>
        <w:t xml:space="preserve">4.2.5 DALY Shortcut Methods</w:t>
      </w:r>
    </w:p>
    <w:p>
      <w:pPr>
        <w:pStyle w:val="FirstParagraph"/>
      </w:pPr>
      <w:r>
        <w:t xml:space="preserve">We also consider two shortcut methods for estimating DALYs. First, we execute a method that defines cycle payoffs based on the disability weight for the diseased health states, and assigns a payoff value of 1.0 for cycles in the disease-related death state. Thus, this method accumulates time in the death state as an estimate of YLLs. This is the method included in the TreeAge Pro software package as a template/example for calculating DALY outcomes.</w:t>
      </w:r>
      <w:r>
        <w:rPr>
          <w:rStyle w:val="FootnoteReference"/>
        </w:rPr>
        <w:footnoteReference w:id="98"/>
      </w:r>
    </w:p>
    <w:p>
      <w:pPr>
        <w:pStyle w:val="BodyText"/>
      </w:pPr>
      <w:r>
        <w:t xml:space="preserve">Second, we consider a simpler</w:t>
      </w:r>
      <w:r>
        <w:t xml:space="preserve"> </w:t>
      </w:r>
      <w:r>
        <w:rPr>
          <w:bCs/>
          <w:b/>
        </w:rPr>
        <w:t xml:space="preserve">QALY-like-DALY</w:t>
      </w:r>
      <w:r>
        <w:t xml:space="preserve"> </w:t>
      </w:r>
      <w:r>
        <w:t xml:space="preserve">method. This approach defines the cycle occupancy payoff for the sick and sicker states as one minus the disability weight. As is common practice, under this method the healthy state receives a payoff value of 1.0, while the death state receives a value of 0.0.</w:t>
      </w:r>
    </w:p>
    <w:bookmarkEnd w:id="99"/>
    <w:bookmarkEnd w:id="100"/>
    <w:bookmarkEnd w:id="101"/>
    <w:bookmarkStart w:id="106" w:name="sec-results"/>
    <w:p>
      <w:pPr>
        <w:pStyle w:val="Heading1"/>
      </w:pPr>
      <w:r>
        <w:t xml:space="preserve">5. Results</w:t>
      </w:r>
    </w:p>
    <w:bookmarkStart w:id="103" w:name="Xa02540c6f59e24771de06959257959ed2b453e9"/>
    <w:p>
      <w:pPr>
        <w:pStyle w:val="Heading2"/>
      </w:pPr>
      <w:r>
        <w:t xml:space="preserve">5.1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102"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102"/>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3"/>
    <w:bookmarkStart w:id="105" w:name="X6f6046c3d1a4b56f5249b5bc60f64bef24ea41a"/>
    <w:p>
      <w:pPr>
        <w:pStyle w:val="Heading2"/>
      </w:pPr>
      <w:r>
        <w:t xml:space="preserve">5.2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4"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5"/>
    <w:bookmarkEnd w:id="106"/>
    <w:bookmarkStart w:id="108" w:name="discussion"/>
    <w:p>
      <w:pPr>
        <w:pStyle w:val="Heading1"/>
      </w:pPr>
      <w:r>
        <w:t xml:space="preserve">6.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7"/>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 facilitates the estimation of other common outcomes such as QALYs, life-years, etc.</w:t>
      </w:r>
    </w:p>
    <w:bookmarkEnd w:id="108"/>
    <w:bookmarkStart w:id="143" w:name="references"/>
    <w:p>
      <w:pPr>
        <w:pStyle w:val="Heading1"/>
      </w:pPr>
      <w:r>
        <w:t xml:space="preserve">References</w:t>
      </w:r>
    </w:p>
    <w:bookmarkStart w:id="142" w:name="refs"/>
    <w:bookmarkStart w:id="109"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9"/>
    <w:bookmarkStart w:id="111"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10">
        <w:r>
          <w:rPr>
            <w:rStyle w:val="Hyperlink"/>
          </w:rPr>
          <w:t xml:space="preserve">https://doi.org/10.2139/ssrn.3451311</w:t>
        </w:r>
      </w:hyperlink>
      <w:r>
        <w:t xml:space="preserve">.</w:t>
      </w:r>
    </w:p>
    <w:bookmarkEnd w:id="111"/>
    <w:bookmarkStart w:id="113"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12">
        <w:r>
          <w:rPr>
            <w:rStyle w:val="Hyperlink"/>
          </w:rPr>
          <w:t xml:space="preserve">https://doi.org/10.1136/bmj.319.7222.1423</w:t>
        </w:r>
      </w:hyperlink>
      <w:r>
        <w:t xml:space="preserve">.</w:t>
      </w:r>
    </w:p>
    <w:bookmarkEnd w:id="113"/>
    <w:bookmarkStart w:id="11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4">
        <w:r>
          <w:rPr>
            <w:rStyle w:val="Hyperlink"/>
          </w:rPr>
          <w:t xml:space="preserve">https://doi.org/10.34172/ijhpm.2020.244</w:t>
        </w:r>
      </w:hyperlink>
      <w:r>
        <w:t xml:space="preserve">.</w:t>
      </w:r>
    </w:p>
    <w:bookmarkEnd w:id="115"/>
    <w:bookmarkStart w:id="117"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6">
        <w:r>
          <w:rPr>
            <w:rStyle w:val="Hyperlink"/>
          </w:rPr>
          <w:t xml:space="preserve">https://doi.org/10.6069/1D4Y-YQ37</w:t>
        </w:r>
      </w:hyperlink>
      <w:r>
        <w:t xml:space="preserve">.</w:t>
      </w:r>
    </w:p>
    <w:bookmarkEnd w:id="117"/>
    <w:bookmarkStart w:id="119"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8">
        <w:r>
          <w:rPr>
            <w:rStyle w:val="Hyperlink"/>
          </w:rPr>
          <w:t xml:space="preserve">https://ghdx.healthdata.org/record/ihme-data/gbd-2021-disability-weights#:~:text=Disability%20weights%2C%20which%20represent%20the,health%20and%201%20equals%20death</w:t>
        </w:r>
      </w:hyperlink>
      <w:r>
        <w:t xml:space="preserve">.</w:t>
      </w:r>
    </w:p>
    <w:bookmarkEnd w:id="119"/>
    <w:bookmarkStart w:id="121"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20">
        <w:r>
          <w:rPr>
            <w:rStyle w:val="Hyperlink"/>
          </w:rPr>
          <w:t xml:space="preserve">https://doi.org/10.1177/0272989x15585121</w:t>
        </w:r>
      </w:hyperlink>
      <w:r>
        <w:t xml:space="preserve">.</w:t>
      </w:r>
    </w:p>
    <w:bookmarkEnd w:id="121"/>
    <w:bookmarkStart w:id="123"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22">
        <w:r>
          <w:rPr>
            <w:rStyle w:val="Hyperlink"/>
          </w:rPr>
          <w:t xml:space="preserve">https://doi.org/10.1017/s0266462320000124</w:t>
        </w:r>
      </w:hyperlink>
      <w:r>
        <w:t xml:space="preserve">.</w:t>
      </w:r>
    </w:p>
    <w:bookmarkEnd w:id="123"/>
    <w:bookmarkStart w:id="125"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4">
        <w:r>
          <w:rPr>
            <w:rStyle w:val="Hyperlink"/>
          </w:rPr>
          <w:t xml:space="preserve">https://doi.org/10.1093/heapol/16.3.326</w:t>
        </w:r>
      </w:hyperlink>
      <w:r>
        <w:t xml:space="preserve">.</w:t>
      </w:r>
    </w:p>
    <w:bookmarkEnd w:id="125"/>
    <w:bookmarkStart w:id="12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6">
        <w:r>
          <w:rPr>
            <w:rStyle w:val="Hyperlink"/>
          </w:rPr>
          <w:t xml:space="preserve">https://doi.org/10.1177/0272989x21995805</w:t>
        </w:r>
      </w:hyperlink>
      <w:r>
        <w:t xml:space="preserve">.</w:t>
      </w:r>
    </w:p>
    <w:bookmarkEnd w:id="127"/>
    <w:bookmarkStart w:id="128"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8"/>
    <w:bookmarkStart w:id="129"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9"/>
    <w:bookmarkStart w:id="131"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30">
        <w:r>
          <w:rPr>
            <w:rStyle w:val="Hyperlink"/>
          </w:rPr>
          <w:t xml:space="preserve">https://doi.org/10.1186/s13690-020-00458-3</w:t>
        </w:r>
      </w:hyperlink>
      <w:r>
        <w:t xml:space="preserve">.</w:t>
      </w:r>
    </w:p>
    <w:bookmarkEnd w:id="131"/>
    <w:bookmarkStart w:id="13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32">
        <w:r>
          <w:rPr>
            <w:rStyle w:val="Hyperlink"/>
          </w:rPr>
          <w:t xml:space="preserve">https://doi.org/10.1016/s0140-6736(20)30752-2</w:t>
        </w:r>
      </w:hyperlink>
      <w:r>
        <w:t xml:space="preserve">.</w:t>
      </w:r>
    </w:p>
    <w:bookmarkEnd w:id="133"/>
    <w:bookmarkStart w:id="13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4">
        <w:r>
          <w:rPr>
            <w:rStyle w:val="Hyperlink"/>
          </w:rPr>
          <w:t xml:space="preserve">https://doi.org/10.1016/s0140-6736(96)07493-4</w:t>
        </w:r>
      </w:hyperlink>
      <w:r>
        <w:t xml:space="preserve">.</w:t>
      </w:r>
    </w:p>
    <w:bookmarkEnd w:id="135"/>
    <w:bookmarkStart w:id="137"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6">
        <w:r>
          <w:rPr>
            <w:rStyle w:val="Hyperlink"/>
          </w:rPr>
          <w:t xml:space="preserve">https://doi.org/10.7916/THEJGH.V4I1.4893</w:t>
        </w:r>
      </w:hyperlink>
      <w:r>
        <w:t xml:space="preserve">.</w:t>
      </w:r>
    </w:p>
    <w:bookmarkEnd w:id="137"/>
    <w:bookmarkStart w:id="139"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8">
        <w:r>
          <w:rPr>
            <w:rStyle w:val="Hyperlink"/>
          </w:rPr>
          <w:t xml:space="preserve">https://cdn.who.int/media/docs/default-source/gho-documents/global-health-estimates/ghe2019_daly-methods.pdf</w:t>
        </w:r>
      </w:hyperlink>
      <w:r>
        <w:t xml:space="preserve">.</w:t>
      </w:r>
    </w:p>
    <w:bookmarkEnd w:id="139"/>
    <w:bookmarkStart w:id="141"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40">
        <w:r>
          <w:rPr>
            <w:rStyle w:val="Hyperlink"/>
          </w:rPr>
          <w:t xml:space="preserve">https://doi.org/10.1016/j.jval.2016.04.015</w:t>
        </w:r>
      </w:hyperlink>
      <w:r>
        <w:t xml:space="preserve">.</w:t>
      </w:r>
    </w:p>
    <w:bookmarkEnd w:id="141"/>
    <w:bookmarkEnd w:id="142"/>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3"/>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1">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9">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4">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6">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1">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5">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6">
        <w:r>
          <w:rPr>
            <w:rStyle w:val="Hyperlink"/>
          </w:rPr>
          <w:t xml:space="preserve">example here</w:t>
        </w:r>
      </w:hyperlink>
    </w:p>
  </w:footnote>
  <w:footnote w:id="67">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4">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1">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98">
    <w:p>
      <w:pPr>
        <w:pStyle w:val="FootnoteText"/>
      </w:pPr>
      <w:r>
        <w:rPr>
          <w:rStyle w:val="FootnoteReference"/>
        </w:rPr>
        <w:footnoteRef/>
      </w:r>
      <w:r>
        <w:t xml:space="preserve"> </w:t>
      </w:r>
      <w:r>
        <w:t xml:space="preserve">TreeAge example model can be found in</w:t>
      </w:r>
      <w:r>
        <w:t xml:space="preserve"> </w:t>
      </w:r>
      <w:r>
        <w:rPr>
          <w:rStyle w:val="VerbatimChar"/>
        </w:rPr>
        <w:t xml:space="preserve">Example Models/Healthcare/Markov Cancer Decision - DALY.trex</w:t>
      </w:r>
      <w:r>
        <w:t xml:space="preserve">.</w:t>
      </w:r>
    </w:p>
  </w:footnote>
  <w:footnote w:id="107">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77" Target="media/rId77.png" /><Relationship Type="http://schemas.openxmlformats.org/officeDocument/2006/relationships/image" Id="rId92" Target="media/rId92.png" /><Relationship Type="http://schemas.openxmlformats.org/officeDocument/2006/relationships/image" Id="rId35" Target="media/rId35.svg" /><Relationship Type="http://schemas.openxmlformats.org/officeDocument/2006/relationships/image" Id="rId42" Target="media/rId42.svg" /><Relationship Type="http://schemas.openxmlformats.org/officeDocument/2006/relationships/image" Id="rId57" Target="media/rId57.svg" /><Relationship Type="http://schemas.openxmlformats.org/officeDocument/2006/relationships/hyperlink" Id="rId138" Target="https://cdn.who.int/media/docs/default-source/gho-documents/global-health-estimates/ghe2019_daly-methods.pdf" TargetMode="External" /><Relationship Type="http://schemas.openxmlformats.org/officeDocument/2006/relationships/hyperlink" Id="rId140" Target="https://doi.org/10.1016/j.jval.2016.04.015" TargetMode="External" /><Relationship Type="http://schemas.openxmlformats.org/officeDocument/2006/relationships/hyperlink" Id="rId132" Target="https://doi.org/10.1016/s0140-6736(20)30752-2" TargetMode="External" /><Relationship Type="http://schemas.openxmlformats.org/officeDocument/2006/relationships/hyperlink" Id="rId134" Target="https://doi.org/10.1016/s0140-6736(96)07493-4" TargetMode="External" /><Relationship Type="http://schemas.openxmlformats.org/officeDocument/2006/relationships/hyperlink" Id="rId122" Target="https://doi.org/10.1017/s0266462320000124" TargetMode="External" /><Relationship Type="http://schemas.openxmlformats.org/officeDocument/2006/relationships/hyperlink" Id="rId124" Target="https://doi.org/10.1093/heapol/16.3.326" TargetMode="External" /><Relationship Type="http://schemas.openxmlformats.org/officeDocument/2006/relationships/hyperlink" Id="rId112" Target="https://doi.org/10.1136/bmj.319.7222.1423" TargetMode="External" /><Relationship Type="http://schemas.openxmlformats.org/officeDocument/2006/relationships/hyperlink" Id="rId120" Target="https://doi.org/10.1177/0272989x15585121" TargetMode="External" /><Relationship Type="http://schemas.openxmlformats.org/officeDocument/2006/relationships/hyperlink" Id="rId126" Target="https://doi.org/10.1177/0272989x21995805" TargetMode="External" /><Relationship Type="http://schemas.openxmlformats.org/officeDocument/2006/relationships/hyperlink" Id="rId130" Target="https://doi.org/10.1186/s13690-020-00458-3" TargetMode="External" /><Relationship Type="http://schemas.openxmlformats.org/officeDocument/2006/relationships/hyperlink" Id="rId110" Target="https://doi.org/10.2139/ssrn.3451311" TargetMode="External" /><Relationship Type="http://schemas.openxmlformats.org/officeDocument/2006/relationships/hyperlink" Id="rId114" Target="https://doi.org/10.34172/ijhpm.2020.244" TargetMode="External" /><Relationship Type="http://schemas.openxmlformats.org/officeDocument/2006/relationships/hyperlink" Id="rId116" Target="https://doi.org/10.6069/1D4Y-YQ37" TargetMode="External" /><Relationship Type="http://schemas.openxmlformats.org/officeDocument/2006/relationships/hyperlink" Id="rId136" Target="https://doi.org/10.7916/THEJGH.V4I1.4893" TargetMode="External" /><Relationship Type="http://schemas.openxmlformats.org/officeDocument/2006/relationships/hyperlink" Id="rId118"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qmd.html" TargetMode="External" /><Relationship Type="http://schemas.openxmlformats.org/officeDocument/2006/relationships/hyperlink" Id="rId66"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8" Target="https://cdn.who.int/media/docs/default-source/gho-documents/global-health-estimates/ghe2019_daly-methods.pdf" TargetMode="External" /><Relationship Type="http://schemas.openxmlformats.org/officeDocument/2006/relationships/hyperlink" Id="rId140" Target="https://doi.org/10.1016/j.jval.2016.04.015" TargetMode="External" /><Relationship Type="http://schemas.openxmlformats.org/officeDocument/2006/relationships/hyperlink" Id="rId132" Target="https://doi.org/10.1016/s0140-6736(20)30752-2" TargetMode="External" /><Relationship Type="http://schemas.openxmlformats.org/officeDocument/2006/relationships/hyperlink" Id="rId134" Target="https://doi.org/10.1016/s0140-6736(96)07493-4" TargetMode="External" /><Relationship Type="http://schemas.openxmlformats.org/officeDocument/2006/relationships/hyperlink" Id="rId122" Target="https://doi.org/10.1017/s0266462320000124" TargetMode="External" /><Relationship Type="http://schemas.openxmlformats.org/officeDocument/2006/relationships/hyperlink" Id="rId124" Target="https://doi.org/10.1093/heapol/16.3.326" TargetMode="External" /><Relationship Type="http://schemas.openxmlformats.org/officeDocument/2006/relationships/hyperlink" Id="rId112" Target="https://doi.org/10.1136/bmj.319.7222.1423" TargetMode="External" /><Relationship Type="http://schemas.openxmlformats.org/officeDocument/2006/relationships/hyperlink" Id="rId120" Target="https://doi.org/10.1177/0272989x15585121" TargetMode="External" /><Relationship Type="http://schemas.openxmlformats.org/officeDocument/2006/relationships/hyperlink" Id="rId126" Target="https://doi.org/10.1177/0272989x21995805" TargetMode="External" /><Relationship Type="http://schemas.openxmlformats.org/officeDocument/2006/relationships/hyperlink" Id="rId130" Target="https://doi.org/10.1186/s13690-020-00458-3" TargetMode="External" /><Relationship Type="http://schemas.openxmlformats.org/officeDocument/2006/relationships/hyperlink" Id="rId110" Target="https://doi.org/10.2139/ssrn.3451311" TargetMode="External" /><Relationship Type="http://schemas.openxmlformats.org/officeDocument/2006/relationships/hyperlink" Id="rId114" Target="https://doi.org/10.34172/ijhpm.2020.244" TargetMode="External" /><Relationship Type="http://schemas.openxmlformats.org/officeDocument/2006/relationships/hyperlink" Id="rId116" Target="https://doi.org/10.6069/1D4Y-YQ37" TargetMode="External" /><Relationship Type="http://schemas.openxmlformats.org/officeDocument/2006/relationships/hyperlink" Id="rId136" Target="https://doi.org/10.7916/THEJGH.V4I1.4893" TargetMode="External" /><Relationship Type="http://schemas.openxmlformats.org/officeDocument/2006/relationships/hyperlink" Id="rId118"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qmd.html" TargetMode="External" /><Relationship Type="http://schemas.openxmlformats.org/officeDocument/2006/relationships/hyperlink" Id="rId66"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 A Tutorial</dc:title>
  <dc:creator>John Graves; Jinyi Zhu; Grace Ratcliff; Hannah Peterson; Marie Martin; Shawn Garbett; Ashley A. Leech</dc:creator>
  <cp:keywords>Cost-Effectiveness Analysis, Microsimulation, Discrete Event Simulation, Markov Cohort Models</cp:keywords>
  <dcterms:created xsi:type="dcterms:W3CDTF">2024-08-22T20:31:05Z</dcterms:created>
  <dcterms:modified xsi:type="dcterms:W3CDTF">2024-08-22T20:31:05Z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2024-08-22</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