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0.png" ContentType="image/png"/>
  <Override PartName="/word/media/rId61.png" ContentType="image/png"/>
  <Override PartName="/word/media/rId45.png" ContentType="image/png"/>
  <Override PartName="/word/media/rId76.png" ContentType="image/png"/>
  <Override PartName="/word/media/rId91.png" ContentType="image/png"/>
  <Override PartName="/word/media/rId34.svg" ContentType="image/svg+xml"/>
  <Override PartName="/word/media/rId41.svg" ContentType="image/svg+xml"/>
  <Override PartName="/word/media/rId56.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2024-08-13</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3"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3"/>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9" w:name="years-of-life-lost-to-disease-yll"/>
    <w:p>
      <w:pPr>
        <w:pStyle w:val="Heading3"/>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p>
      <w:pPr>
        <w:pStyle w:val="BodyText"/>
      </w:pPr>
      <w:r>
        <w:t xml:space="preserve">Finally, DALYs are simply the sum of these two components:</w:t>
      </w:r>
    </w:p>
    <w:p>
      <w:pPr>
        <w:pStyle w:val="BodyText"/>
      </w:pPr>
      <w:bookmarkStart w:id="28"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8"/>
    </w:p>
    <w:bookmarkEnd w:id="29"/>
    <w:bookmarkStart w:id="32" w:name="discounting"/>
    <w:p>
      <w:pPr>
        <w:pStyle w:val="Heading3"/>
      </w:pPr>
      <w:r>
        <w:t xml:space="preserve">2.3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0"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0"/>
    </w:p>
    <w:p>
      <w:pPr>
        <w:pStyle w:val="FirstParagraph"/>
      </w:pPr>
      <w:r>
        <w:t xml:space="preserve">Similarly, YLLs are calculated as,</w:t>
      </w:r>
    </w:p>
    <w:p>
      <w:pPr>
        <w:pStyle w:val="BodyText"/>
      </w:pPr>
      <w:bookmarkStart w:id="31"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1"/>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2"/>
    <w:bookmarkEnd w:id="33"/>
    <w:bookmarkStart w:id="39"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affect DALY estimates while holding fixed</w:t>
      </w:r>
      <w:r>
        <w:t xml:space="preserve"> </w:t>
      </w:r>
      <w:r>
        <w:rPr>
          <w:iCs/>
          <w:i/>
        </w:rPr>
        <w:t xml:space="preserve">additional</w:t>
      </w:r>
      <w:r>
        <w:t xml:space="preserve"> </w:t>
      </w:r>
      <w:r>
        <w:t xml:space="preserve">differences in how disability and utility weights are derived.</w:t>
      </w:r>
    </w:p>
    <w:tbl>
      <w:tblPr>
        <w:tblStyle w:val="Table"/>
        <w:tblW w:type="pct" w:w="5000"/>
        <w:tblLook w:firstRow="0" w:lastRow="0" w:firstColumn="0" w:lastColumn="0" w:noHBand="0" w:noVBand="0" w:val="0000"/>
        <w:jc w:val="start"/>
        <w:tblLayout w:type="fixed"/>
      </w:tblPr>
      <w:tblGrid>
        <w:gridCol w:w="7920"/>
      </w:tblGrid>
      <w:tr>
        <w:tc>
          <w:tcPr/>
          <w:bookmarkStart w:id="37" w:name="fig-model1"/>
          <w:p>
            <w:pPr>
              <w:pStyle w:val="Compact"/>
              <w:jc w:val="center"/>
            </w:pPr>
            <w:r>
              <w:drawing>
                <wp:inline>
                  <wp:extent cx="5943600" cy="3538053"/>
                  <wp:effectExtent b="0" l="0" r="0" t="0"/>
                  <wp:docPr descr="" title="" id="35" name="Picture"/>
                  <a:graphic>
                    <a:graphicData uri="http://schemas.openxmlformats.org/drawingml/2006/picture">
                      <pic:pic>
                        <pic:nvPicPr>
                          <pic:cNvPr descr="images/state-transition-diagram-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8"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9"/>
    <w:bookmarkStart w:id="7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0"/>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4"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4" w:name="fig-modelDS"/>
          <w:p>
            <w:pPr>
              <w:pStyle w:val="Compact"/>
              <w:jc w:val="center"/>
            </w:pPr>
            <w:r>
              <w:drawing>
                <wp:inline>
                  <wp:extent cx="5943600" cy="3485142"/>
                  <wp:effectExtent b="0" l="0" r="0" t="0"/>
                  <wp:docPr descr="" title="" id="42" name="Picture"/>
                  <a:graphic>
                    <a:graphicData uri="http://schemas.openxmlformats.org/drawingml/2006/picture">
                      <pic:pic>
                        <pic:nvPicPr>
                          <pic:cNvPr descr="images/state-transition-diagram-2.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4"/>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6" name="Picture"/>
            <a:graphic>
              <a:graphicData uri="http://schemas.openxmlformats.org/drawingml/2006/picture">
                <pic:pic>
                  <pic:nvPicPr>
                    <pic:cNvPr descr="images/Q_model2.png" id="47" name="Picture"/>
                    <pic:cNvPicPr>
                      <a:picLocks noChangeArrowheads="1" noChangeAspect="1"/>
                    </pic:cNvPicPr>
                  </pic:nvPicPr>
                  <pic:blipFill>
                    <a:blip r:embed="rId45"/>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8"/>
      </w:r>
    </w:p>
    <w:p>
      <w:pPr>
        <w:pStyle w:val="BodyText"/>
      </w:pPr>
      <w:bookmarkStart w:id="49"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9"/>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1" name="Picture"/>
            <a:graphic>
              <a:graphicData uri="http://schemas.openxmlformats.org/drawingml/2006/picture">
                <pic:pic>
                  <pic:nvPicPr>
                    <pic:cNvPr descr="images/P_model2.png" id="52" name="Picture"/>
                    <pic:cNvPicPr>
                      <a:picLocks noChangeArrowheads="1" noChangeAspect="1"/>
                    </pic:cNvPicPr>
                  </pic:nvPicPr>
                  <pic:blipFill>
                    <a:blip r:embed="rId50"/>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3"/>
      </w:r>
    </w:p>
    <w:bookmarkEnd w:id="54"/>
    <w:bookmarkStart w:id="70"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5"/>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9" w:name="fig-transition"/>
          <w:p>
            <w:pPr>
              <w:pStyle w:val="Compact"/>
              <w:jc w:val="center"/>
            </w:pPr>
            <w:r>
              <w:drawing>
                <wp:inline>
                  <wp:extent cx="5943600" cy="3538053"/>
                  <wp:effectExtent b="0" l="0" r="0" t="0"/>
                  <wp:docPr descr="" title="" id="57" name="Picture"/>
                  <a:graphic>
                    <a:graphicData uri="http://schemas.openxmlformats.org/drawingml/2006/picture">
                      <pic:pic>
                        <pic:nvPicPr>
                          <pic:cNvPr descr="images/state-transition-diagram-3.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9"/>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0"/>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2" name="Picture"/>
            <a:graphic>
              <a:graphicData uri="http://schemas.openxmlformats.org/drawingml/2006/picture">
                <pic:pic>
                  <pic:nvPicPr>
                    <pic:cNvPr descr="images/Q_model1.png" id="63" name="Picture"/>
                    <pic:cNvPicPr>
                      <a:picLocks noChangeArrowheads="1" noChangeAspect="1"/>
                    </pic:cNvPicPr>
                  </pic:nvPicPr>
                  <pic:blipFill>
                    <a:blip r:embed="rId61"/>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4"/>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6"/>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8" name="Picture"/>
            <a:graphic>
              <a:graphicData uri="http://schemas.openxmlformats.org/drawingml/2006/picture">
                <pic:pic>
                  <pic:nvPicPr>
                    <pic:cNvPr descr="images/P_model1.png" id="69" name="Picture"/>
                    <pic:cNvPicPr>
                      <a:picLocks noChangeArrowheads="1" noChangeAspect="1"/>
                    </pic:cNvPicPr>
                  </pic:nvPicPr>
                  <pic:blipFill>
                    <a:blip r:embed="rId67"/>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0"/>
    <w:bookmarkEnd w:id="71"/>
    <w:bookmarkStart w:id="97"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5"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3"/>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5"/>
    <w:bookmarkStart w:id="85" w:name="X5d5c6b39ba62cd5732bf70c32b86e93f397ca88"/>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7" name="Picture"/>
            <a:graphic>
              <a:graphicData uri="http://schemas.openxmlformats.org/drawingml/2006/picture">
                <pic:pic>
                  <pic:nvPicPr>
                    <pic:cNvPr descr="images/d_yld.png" id="78" name="Picture"/>
                    <pic:cNvPicPr>
                      <a:picLocks noChangeArrowheads="1" noChangeAspect="1"/>
                    </pic:cNvPicPr>
                  </pic:nvPicPr>
                  <pic:blipFill>
                    <a:blip r:embed="rId7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1"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1"/>
    </w:p>
    <w:p>
      <w:pPr>
        <w:pStyle w:val="FirstParagraph"/>
      </w:pPr>
      <w:r>
        <w:t xml:space="preserve">Total discounted YLDs are obtained by summing cycle-specific discounted YLD outcomes,</w:t>
      </w:r>
    </w:p>
    <w:p>
      <w:pPr>
        <w:pStyle w:val="BodyText"/>
      </w:pPr>
      <w:bookmarkStart w:id="8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2"/>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5"/>
    <w:bookmarkStart w:id="9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8"/>
    </w:p>
    <w:p>
      <w:pPr>
        <w:pStyle w:val="FirstParagraph"/>
      </w:pPr>
      <w:r>
        <w:t xml:space="preserve">Total discounted YLLs are given by,</w:t>
      </w:r>
    </w:p>
    <w:p>
      <w:pPr>
        <w:pStyle w:val="BodyText"/>
      </w:pPr>
      <w:bookmarkStart w:id="8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9"/>
    </w:p>
    <w:bookmarkEnd w:id="90"/>
    <w:bookmarkStart w:id="9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2" name="Picture"/>
            <a:graphic>
              <a:graphicData uri="http://schemas.openxmlformats.org/drawingml/2006/picture">
                <pic:pic>
                  <pic:nvPicPr>
                    <pic:cNvPr descr="images/d_yll.png" id="93" name="Picture"/>
                    <pic:cNvPicPr>
                      <a:picLocks noChangeArrowheads="1" noChangeAspect="1"/>
                    </pic:cNvPicPr>
                  </pic:nvPicPr>
                  <pic:blipFill>
                    <a:blip r:embed="rId9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6"/>
    <w:bookmarkEnd w:id="97"/>
    <w:bookmarkStart w:id="102" w:name="sec-results"/>
    <w:p>
      <w:pPr>
        <w:pStyle w:val="Heading2"/>
      </w:pPr>
      <w:r>
        <w:t xml:space="preserve">6 Results</w:t>
      </w:r>
    </w:p>
    <w:bookmarkStart w:id="99"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8"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9"/>
    <w:bookmarkStart w:id="101"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0"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1"/>
    <w:bookmarkEnd w:id="102"/>
    <w:bookmarkStart w:id="104"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3"/>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4"/>
    <w:bookmarkStart w:id="140" w:name="references"/>
    <w:p>
      <w:pPr>
        <w:pStyle w:val="Heading2"/>
      </w:pPr>
      <w:r>
        <w:t xml:space="preserve">References</w:t>
      </w:r>
    </w:p>
    <w:bookmarkStart w:id="139" w:name="refs"/>
    <w:bookmarkStart w:id="105"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5"/>
    <w:bookmarkStart w:id="107"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6">
        <w:r>
          <w:rPr>
            <w:rStyle w:val="Hyperlink"/>
          </w:rPr>
          <w:t xml:space="preserve">https://doi.org/10.2139/ssrn.3451311</w:t>
        </w:r>
      </w:hyperlink>
      <w:r>
        <w:t xml:space="preserve">.</w:t>
      </w:r>
    </w:p>
    <w:bookmarkEnd w:id="107"/>
    <w:bookmarkStart w:id="109"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08">
        <w:r>
          <w:rPr>
            <w:rStyle w:val="Hyperlink"/>
          </w:rPr>
          <w:t xml:space="preserve">https://doi.org/10.1136/bmj.319.7222.1423</w:t>
        </w:r>
      </w:hyperlink>
      <w:r>
        <w:t xml:space="preserve">.</w:t>
      </w:r>
    </w:p>
    <w:bookmarkEnd w:id="109"/>
    <w:bookmarkStart w:id="111"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0">
        <w:r>
          <w:rPr>
            <w:rStyle w:val="Hyperlink"/>
          </w:rPr>
          <w:t xml:space="preserve">https://doi.org/10.34172/ijhpm.2020.244</w:t>
        </w:r>
      </w:hyperlink>
      <w:r>
        <w:t xml:space="preserve">.</w:t>
      </w:r>
    </w:p>
    <w:bookmarkEnd w:id="111"/>
    <w:bookmarkStart w:id="113"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4">
        <w:r>
          <w:rPr>
            <w:rStyle w:val="Hyperlink"/>
          </w:rPr>
          <w:t xml:space="preserve">https://ghdx.healthdata.org/record/ihme-data/gbd-2021-disability-weights#:~:text=Disability%20weights%2C%20which%20represent%20the,health%20and%201%20equals%20death</w:t>
        </w:r>
      </w:hyperlink>
      <w:r>
        <w:t xml:space="preserve">.</w:t>
      </w:r>
    </w:p>
    <w:bookmarkEnd w:id="115"/>
    <w:bookmarkStart w:id="117"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16">
        <w:r>
          <w:rPr>
            <w:rStyle w:val="Hyperlink"/>
          </w:rPr>
          <w:t xml:space="preserve">https://doi.org/10.1177/0272989x15585121</w:t>
        </w:r>
      </w:hyperlink>
      <w:r>
        <w:t xml:space="preserve">.</w:t>
      </w:r>
    </w:p>
    <w:bookmarkEnd w:id="117"/>
    <w:bookmarkStart w:id="11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18">
        <w:r>
          <w:rPr>
            <w:rStyle w:val="Hyperlink"/>
          </w:rPr>
          <w:t xml:space="preserve">https://doi.org/10.1017/s0266462320000124</w:t>
        </w:r>
      </w:hyperlink>
      <w:r>
        <w:t xml:space="preserve">.</w:t>
      </w:r>
    </w:p>
    <w:bookmarkEnd w:id="119"/>
    <w:bookmarkStart w:id="12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0">
        <w:r>
          <w:rPr>
            <w:rStyle w:val="Hyperlink"/>
          </w:rPr>
          <w:t xml:space="preserve">https://doi.org/10.1093/heapol/16.3.326</w:t>
        </w:r>
      </w:hyperlink>
      <w:r>
        <w:t xml:space="preserve">.</w:t>
      </w:r>
    </w:p>
    <w:bookmarkEnd w:id="121"/>
    <w:bookmarkStart w:id="123"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2">
        <w:r>
          <w:rPr>
            <w:rStyle w:val="Hyperlink"/>
          </w:rPr>
          <w:t xml:space="preserve">https://doi.org/10.1177/0272989x21995805</w:t>
        </w:r>
      </w:hyperlink>
      <w:r>
        <w:t xml:space="preserve">.</w:t>
      </w:r>
    </w:p>
    <w:bookmarkEnd w:id="123"/>
    <w:bookmarkStart w:id="124"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4"/>
    <w:bookmarkStart w:id="125"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5"/>
    <w:bookmarkStart w:id="127"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26">
        <w:r>
          <w:rPr>
            <w:rStyle w:val="Hyperlink"/>
          </w:rPr>
          <w:t xml:space="preserve">https://doi.org/10.1186/s13690-020-00458-3</w:t>
        </w:r>
      </w:hyperlink>
      <w:r>
        <w:t xml:space="preserve">.</w:t>
      </w:r>
    </w:p>
    <w:bookmarkEnd w:id="127"/>
    <w:bookmarkStart w:id="12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28">
        <w:r>
          <w:rPr>
            <w:rStyle w:val="Hyperlink"/>
          </w:rPr>
          <w:t xml:space="preserve">https://doi.org/10.1016/s0140-6736(20)30752-2</w:t>
        </w:r>
      </w:hyperlink>
      <w:r>
        <w:t xml:space="preserve">.</w:t>
      </w:r>
    </w:p>
    <w:bookmarkEnd w:id="129"/>
    <w:bookmarkStart w:id="13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0">
        <w:r>
          <w:rPr>
            <w:rStyle w:val="Hyperlink"/>
          </w:rPr>
          <w:t xml:space="preserve">https://doi.org/10.1016/s0140-6736(96)07493-4</w:t>
        </w:r>
      </w:hyperlink>
      <w:r>
        <w:t xml:space="preserve">.</w:t>
      </w:r>
    </w:p>
    <w:bookmarkEnd w:id="131"/>
    <w:bookmarkStart w:id="133"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2">
        <w:r>
          <w:rPr>
            <w:rStyle w:val="Hyperlink"/>
          </w:rPr>
          <w:t xml:space="preserve">https://doi.org/10.7916/THEJGH.V4I1.4893</w:t>
        </w:r>
      </w:hyperlink>
      <w:r>
        <w:t xml:space="preserve">.</w:t>
      </w:r>
    </w:p>
    <w:bookmarkEnd w:id="133"/>
    <w:bookmarkStart w:id="134"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34"/>
    <w:bookmarkStart w:id="136"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5">
        <w:r>
          <w:rPr>
            <w:rStyle w:val="Hyperlink"/>
          </w:rPr>
          <w:t xml:space="preserve">https://cdn.who.int/media/docs/default-source/gho-documents/global-health-estimates/ghe2019_daly-methods.pdf</w:t>
        </w:r>
      </w:hyperlink>
      <w:r>
        <w:t xml:space="preserve">.</w:t>
      </w:r>
    </w:p>
    <w:bookmarkEnd w:id="136"/>
    <w:bookmarkStart w:id="138"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37">
        <w:r>
          <w:rPr>
            <w:rStyle w:val="Hyperlink"/>
          </w:rPr>
          <w:t xml:space="preserve">https://doi.org/10.1016/j.jval.2016.04.015</w:t>
        </w:r>
      </w:hyperlink>
      <w:r>
        <w:t xml:space="preserve">.</w:t>
      </w:r>
    </w:p>
    <w:bookmarkEnd w:id="138"/>
    <w:bookmarkEnd w:id="139"/>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0"/>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0">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8">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3">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5">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0">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4">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5">
        <w:r>
          <w:rPr>
            <w:rStyle w:val="Hyperlink"/>
          </w:rPr>
          <w:t xml:space="preserve">example here</w:t>
        </w:r>
      </w:hyperlink>
    </w:p>
  </w:footnote>
  <w:footnote w:id="66">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3">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76" Target="media/rId76.png" /><Relationship Type="http://schemas.openxmlformats.org/officeDocument/2006/relationships/image" Id="rId91" Target="media/rId91.png" /><Relationship Type="http://schemas.openxmlformats.org/officeDocument/2006/relationships/image" Id="rId34" Target="media/rId34.svg" /><Relationship Type="http://schemas.openxmlformats.org/officeDocument/2006/relationships/image" Id="rId41" Target="media/rId41.svg" /><Relationship Type="http://schemas.openxmlformats.org/officeDocument/2006/relationships/image" Id="rId56" Target="media/rId56.svg" /><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2024-08-14T13:47:58Z</dcterms:created>
  <dcterms:modified xsi:type="dcterms:W3CDTF">2024-08-14T13:47:58Z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2024-08-13</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