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2.png" ContentType="image/png"/>
  <Override PartName="/word/media/rId66.png" ContentType="image/png"/>
  <Override PartName="/word/media/rId49.png" ContentType="image/png"/>
  <Override PartName="/word/media/rId60.png" ContentType="image/png"/>
  <Override PartName="/word/media/rId44.png" ContentType="image/png"/>
  <Override PartName="/word/media/rId86.png" ContentType="image/png"/>
  <Override PartName="/word/media/rId101.png" ContentType="image/png"/>
  <Override PartName="/word/media/rId33.svg" ContentType="image/svg+xml"/>
  <Override PartName="/word/media/rId40.svg" ContentType="image/svg+xml"/>
  <Override PartName="/word/media/rId55.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Ashley</w:t>
      </w:r>
      <w:r>
        <w:t xml:space="preserve"> </w:t>
      </w:r>
      <w:r>
        <w:t xml:space="preserve">Leech</w:t>
      </w:r>
    </w:p>
    <w:p>
      <w:pPr>
        <w:pStyle w:val="Author"/>
      </w:pPr>
      <w:r>
        <w:t xml:space="preserve">Jinyi</w:t>
      </w:r>
      <w:r>
        <w:t xml:space="preserve"> </w:t>
      </w:r>
      <w:r>
        <w:t xml:space="preserve">Zhu</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Date"/>
      </w:pPr>
      <w:r>
        <w:t xml:space="preserve">2024-03-21</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4"/>
    <w:bookmarkStart w:id="32"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1"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8"/>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9"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9"/>
    </w:p>
    <w:p>
      <w:pPr>
        <w:pStyle w:val="FirstParagraph"/>
      </w:pPr>
      <w:r>
        <w:t xml:space="preserve">Similarly, YLLs are calculated as,</w:t>
      </w:r>
    </w:p>
    <w:p>
      <w:pPr>
        <w:pStyle w:val="BodyText"/>
      </w:pPr>
      <w:bookmarkStart w:id="30"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0"/>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1"/>
    <w:bookmarkEnd w:id="32"/>
    <w:bookmarkStart w:id="38"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6" w:name="fig-model1"/>
          <w:p>
            <w:pPr>
              <w:pStyle w:val="Compact"/>
              <w:jc w:val="center"/>
            </w:pPr>
            <w:r>
              <w:drawing>
                <wp:inline>
                  <wp:extent cx="5943600" cy="3538053"/>
                  <wp:effectExtent b="0" l="0" r="0" t="0"/>
                  <wp:docPr descr="" title="" id="34" name="Picture"/>
                  <a:graphic>
                    <a:graphicData uri="http://schemas.openxmlformats.org/drawingml/2006/picture">
                      <pic:pic>
                        <pic:nvPicPr>
                          <pic:cNvPr descr="images/state-transition-diagram-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7"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8"/>
    <w:bookmarkStart w:id="8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9"/>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3"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3" w:name="fig-modelDS"/>
          <w:p>
            <w:pPr>
              <w:pStyle w:val="Compact"/>
              <w:jc w:val="center"/>
            </w:pPr>
            <w:r>
              <w:drawing>
                <wp:inline>
                  <wp:extent cx="5943600" cy="3485142"/>
                  <wp:effectExtent b="0" l="0" r="0" t="0"/>
                  <wp:docPr descr="" title="" id="41" name="Picture"/>
                  <a:graphic>
                    <a:graphicData uri="http://schemas.openxmlformats.org/drawingml/2006/picture">
                      <pic:pic>
                        <pic:nvPicPr>
                          <pic:cNvPr descr="images/state-transition-diagram-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3"/>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5" name="Picture"/>
            <a:graphic>
              <a:graphicData uri="http://schemas.openxmlformats.org/drawingml/2006/picture">
                <pic:pic>
                  <pic:nvPicPr>
                    <pic:cNvPr descr="images/Q_model2.png" id="46" name="Picture"/>
                    <pic:cNvPicPr>
                      <a:picLocks noChangeArrowheads="1" noChangeAspect="1"/>
                    </pic:cNvPicPr>
                  </pic:nvPicPr>
                  <pic:blipFill>
                    <a:blip r:embed="rId44"/>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7"/>
      </w:r>
    </w:p>
    <w:p>
      <w:pPr>
        <w:pStyle w:val="BodyText"/>
      </w:pPr>
      <w:bookmarkStart w:id="48"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8"/>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0" name="Picture"/>
            <a:graphic>
              <a:graphicData uri="http://schemas.openxmlformats.org/drawingml/2006/picture">
                <pic:pic>
                  <pic:nvPicPr>
                    <pic:cNvPr descr="images/P_model2.png" id="51" name="Picture"/>
                    <pic:cNvPicPr>
                      <a:picLocks noChangeArrowheads="1" noChangeAspect="1"/>
                    </pic:cNvPicPr>
                  </pic:nvPicPr>
                  <pic:blipFill>
                    <a:blip r:embed="rId49"/>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2"/>
      </w:r>
    </w:p>
    <w:bookmarkEnd w:id="53"/>
    <w:bookmarkStart w:id="69"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4"/>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8" w:name="fig-transition"/>
          <w:p>
            <w:pPr>
              <w:pStyle w:val="Compact"/>
              <w:jc w:val="center"/>
            </w:pPr>
            <w:r>
              <w:drawing>
                <wp:inline>
                  <wp:extent cx="5943600" cy="3538053"/>
                  <wp:effectExtent b="0" l="0" r="0" t="0"/>
                  <wp:docPr descr="" title="" id="56" name="Picture"/>
                  <a:graphic>
                    <a:graphicData uri="http://schemas.openxmlformats.org/drawingml/2006/picture">
                      <pic:pic>
                        <pic:nvPicPr>
                          <pic:cNvPr descr="images/state-transition-diagram-3.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8"/>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9"/>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1" name="Picture"/>
            <a:graphic>
              <a:graphicData uri="http://schemas.openxmlformats.org/drawingml/2006/picture">
                <pic:pic>
                  <pic:nvPicPr>
                    <pic:cNvPr descr="images/Q_model1.png" id="62" name="Picture"/>
                    <pic:cNvPicPr>
                      <a:picLocks noChangeArrowheads="1" noChangeAspect="1"/>
                    </pic:cNvPicPr>
                  </pic:nvPicPr>
                  <pic:blipFill>
                    <a:blip r:embed="rId60"/>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3"/>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5"/>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7" name="Picture"/>
            <a:graphic>
              <a:graphicData uri="http://schemas.openxmlformats.org/drawingml/2006/picture">
                <pic:pic>
                  <pic:nvPicPr>
                    <pic:cNvPr descr="images/P_model1.png" id="68" name="Picture"/>
                    <pic:cNvPicPr>
                      <a:picLocks noChangeArrowheads="1" noChangeAspect="1"/>
                    </pic:cNvPicPr>
                  </pic:nvPicPr>
                  <pic:blipFill>
                    <a:blip r:embed="rId66"/>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9"/>
    <w:bookmarkStart w:id="80"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70"/>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1"/>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2"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2"/>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3"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3"/>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4"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4"/>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5" w:name="eq-bbU"/>
      <w:r>
        <w:t xml:space="preserve">$$
\mathbb{U}=\left(\begin{array}{c|c|c}
\mathbf{U}_1 &amp; \cdots &amp; \mathbf{0} \\
\hline &amp; \ddots &amp; \\
\hline \mathbf{0} &amp; \cdots &amp; \mathbf{U}_\omega
\end{array}\right)
 \qquad(10)$$</w:t>
      </w:r>
      <w:bookmarkEnd w:id="75"/>
    </w:p>
    <w:p>
      <w:pPr>
        <w:pStyle w:val="FirstParagraph"/>
      </w:pPr>
      <w:bookmarkStart w:id="76" w:name="eq-BBD"/>
      <w:r>
        <w:t xml:space="preserve">$$
\mathbb{D}=\left(\begin{array}{c|c|c}
\mathbf{D}_1 &amp; \cdots &amp; \mathbf{0} \\
\hline &amp; \ddots &amp; \\
\hline \mathbf{0} &amp; \cdots &amp; \mathbf{D}_\tau
\end{array}\right)
 \qquad(11)$$</w:t>
      </w:r>
      <w:bookmarkEnd w:id="76"/>
    </w:p>
    <w:p>
      <w:pPr>
        <w:pStyle w:val="FirstParagraph"/>
      </w:pPr>
      <w:bookmarkStart w:id="77"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7"/>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8"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8"/>
    </w:p>
    <w:p>
      <w:pPr>
        <w:pStyle w:val="FirstParagraph"/>
      </w:pPr>
      <w:r>
        <w:t xml:space="preserve">Finally, we capture the entire Markov chain in a block transition matrix,</w:t>
      </w:r>
    </w:p>
    <w:p>
      <w:pPr>
        <w:pStyle w:val="BodyText"/>
      </w:pPr>
      <w:bookmarkStart w:id="79"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9"/>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80"/>
    <w:bookmarkEnd w:id="81"/>
    <w:bookmarkStart w:id="107"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5"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3"/>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5"/>
    <w:bookmarkStart w:id="95"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7" name="Picture"/>
            <a:graphic>
              <a:graphicData uri="http://schemas.openxmlformats.org/drawingml/2006/picture">
                <pic:pic>
                  <pic:nvPicPr>
                    <pic:cNvPr descr="images/d_yld.png" id="88" name="Picture"/>
                    <pic:cNvPicPr>
                      <a:picLocks noChangeArrowheads="1" noChangeAspect="1"/>
                    </pic:cNvPicPr>
                  </pic:nvPicPr>
                  <pic:blipFill>
                    <a:blip r:embed="rId8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9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1"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1"/>
    </w:p>
    <w:p>
      <w:pPr>
        <w:pStyle w:val="FirstParagraph"/>
      </w:pPr>
      <w:r>
        <w:t xml:space="preserve">Total discounted YLDs are obtained by summing cycle-specific discounted YLD outcomes,</w:t>
      </w:r>
    </w:p>
    <w:p>
      <w:pPr>
        <w:pStyle w:val="BodyText"/>
      </w:pPr>
      <w:bookmarkStart w:id="9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2"/>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5"/>
    <w:bookmarkStart w:id="10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8"/>
    </w:p>
    <w:p>
      <w:pPr>
        <w:pStyle w:val="FirstParagraph"/>
      </w:pPr>
      <w:r>
        <w:t xml:space="preserve">Total discounted YLLs are given by,</w:t>
      </w:r>
    </w:p>
    <w:p>
      <w:pPr>
        <w:pStyle w:val="BodyText"/>
      </w:pPr>
      <w:bookmarkStart w:id="9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9"/>
    </w:p>
    <w:bookmarkEnd w:id="100"/>
    <w:bookmarkStart w:id="10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2" name="Picture"/>
            <a:graphic>
              <a:graphicData uri="http://schemas.openxmlformats.org/drawingml/2006/picture">
                <pic:pic>
                  <pic:nvPicPr>
                    <pic:cNvPr descr="images/d_yll.png" id="103" name="Picture"/>
                    <pic:cNvPicPr>
                      <a:picLocks noChangeArrowheads="1" noChangeAspect="1"/>
                    </pic:cNvPicPr>
                  </pic:nvPicPr>
                  <pic:blipFill>
                    <a:blip r:embed="rId10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6"/>
    <w:bookmarkEnd w:id="107"/>
    <w:bookmarkStart w:id="123"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7"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1" w:name="fig-H-le"/>
          <w:p>
            <w:pPr>
              <w:pStyle w:val="Compact"/>
              <w:jc w:val="center"/>
            </w:pPr>
            <w:r>
              <w:drawing>
                <wp:inline>
                  <wp:extent cx="2377440" cy="1123880"/>
                  <wp:effectExtent b="0" l="0" r="0" t="0"/>
                  <wp:docPr descr="" title="" id="109" name="Picture"/>
                  <a:graphic>
                    <a:graphicData uri="http://schemas.openxmlformats.org/drawingml/2006/picture">
                      <pic:pic>
                        <pic:nvPicPr>
                          <pic:cNvPr descr="images/H-LE.png" id="110" name="Picture"/>
                          <pic:cNvPicPr>
                            <a:picLocks noChangeArrowheads="1" noChangeAspect="1"/>
                          </pic:cNvPicPr>
                        </pic:nvPicPr>
                        <pic:blipFill>
                          <a:blip r:embed="rId108"/>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1"/>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5" w:name="fig-H-yld"/>
          <w:p>
            <w:pPr>
              <w:pStyle w:val="Compact"/>
              <w:jc w:val="center"/>
            </w:pPr>
            <w:r>
              <w:drawing>
                <wp:inline>
                  <wp:extent cx="3566160" cy="977752"/>
                  <wp:effectExtent b="0" l="0" r="0" t="0"/>
                  <wp:docPr descr="" title="" id="113" name="Picture"/>
                  <a:graphic>
                    <a:graphicData uri="http://schemas.openxmlformats.org/drawingml/2006/picture">
                      <pic:pic>
                        <pic:nvPicPr>
                          <pic:cNvPr descr="images/H-YLD.png" id="114" name="Picture"/>
                          <pic:cNvPicPr>
                            <a:picLocks noChangeArrowheads="1" noChangeAspect="1"/>
                          </pic:cNvPicPr>
                        </pic:nvPicPr>
                        <pic:blipFill>
                          <a:blip r:embed="rId112"/>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5"/>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6"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6"/>
    <w:bookmarkEnd w:id="117"/>
    <w:bookmarkStart w:id="118"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8"/>
    <w:bookmarkStart w:id="122"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9"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9"/>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20"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20"/>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1"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1"/>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2"/>
    <w:bookmarkEnd w:id="123"/>
    <w:bookmarkStart w:id="128" w:name="sec-results"/>
    <w:p>
      <w:pPr>
        <w:pStyle w:val="Heading2"/>
      </w:pPr>
      <w:r>
        <w:t xml:space="preserve">7 Results</w:t>
      </w:r>
    </w:p>
    <w:bookmarkStart w:id="125"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less than 1% of those under Approaches 1 &amp; 2. YLLs are identical across the three approaches.</w:t>
      </w:r>
    </w:p>
    <w:tbl>
      <w:tblPr>
        <w:tblStyle w:val="Table"/>
        <w:tblW w:type="pct" w:w="5000"/>
        <w:tblLook w:firstRow="0" w:lastRow="0" w:firstColumn="0" w:lastColumn="0" w:noHBand="0" w:noVBand="0" w:val="0000"/>
        <w:jc w:val="start"/>
        <w:tblLayout w:type="fixed"/>
      </w:tblPr>
      <w:tblGrid>
        <w:gridCol w:w="7920"/>
      </w:tblGrid>
      <w:tr>
        <w:tc>
          <w:tcPr/>
          <w:bookmarkStart w:id="124"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5.758</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4.890</w:t>
                  </w:r>
                </w:p>
              </w:tc>
            </w:tr>
          </w:tbl>
          <w:bookmarkEnd w:id="12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5"/>
    <w:bookmarkStart w:id="127"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6"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153,685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247,354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362,476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282,525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7"/>
    <w:bookmarkEnd w:id="128"/>
    <w:bookmarkStart w:id="130"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9"/>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30"/>
    <w:bookmarkStart w:id="162" w:name="references"/>
    <w:p>
      <w:pPr>
        <w:pStyle w:val="Heading2"/>
      </w:pPr>
      <w:r>
        <w:t xml:space="preserve">References</w:t>
      </w:r>
    </w:p>
    <w:bookmarkStart w:id="161" w:name="refs"/>
    <w:bookmarkStart w:id="131"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1"/>
    <w:bookmarkStart w:id="133"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2">
        <w:r>
          <w:rPr>
            <w:rStyle w:val="Hyperlink"/>
          </w:rPr>
          <w:t xml:space="preserve">https://doi.org/10.2139/ssrn.3451311</w:t>
        </w:r>
      </w:hyperlink>
      <w:r>
        <w:t xml:space="preserve">.</w:t>
      </w:r>
    </w:p>
    <w:bookmarkEnd w:id="133"/>
    <w:bookmarkStart w:id="13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4">
        <w:r>
          <w:rPr>
            <w:rStyle w:val="Hyperlink"/>
          </w:rPr>
          <w:t xml:space="preserve">https://doi.org/10.34172/ijhpm.2020.244</w:t>
        </w:r>
      </w:hyperlink>
      <w:r>
        <w:t xml:space="preserve">.</w:t>
      </w:r>
    </w:p>
    <w:bookmarkEnd w:id="135"/>
    <w:bookmarkStart w:id="137"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6">
        <w:r>
          <w:rPr>
            <w:rStyle w:val="Hyperlink"/>
          </w:rPr>
          <w:t xml:space="preserve">https://doi.org/10.4054/demres.2021.45.13</w:t>
        </w:r>
      </w:hyperlink>
      <w:r>
        <w:t xml:space="preserve">.</w:t>
      </w:r>
    </w:p>
    <w:bookmarkEnd w:id="137"/>
    <w:bookmarkStart w:id="139"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8">
        <w:r>
          <w:rPr>
            <w:rStyle w:val="Hyperlink"/>
          </w:rPr>
          <w:t xml:space="preserve">https://doi.org/10.1186/s12963-018-0165-5</w:t>
        </w:r>
      </w:hyperlink>
      <w:r>
        <w:t xml:space="preserve">.</w:t>
      </w:r>
    </w:p>
    <w:bookmarkEnd w:id="139"/>
    <w:bookmarkStart w:id="141"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40">
        <w:r>
          <w:rPr>
            <w:rStyle w:val="Hyperlink"/>
          </w:rPr>
          <w:t xml:space="preserve">https://doi.org/10.1017/s0266462320000124</w:t>
        </w:r>
      </w:hyperlink>
      <w:r>
        <w:t xml:space="preserve">.</w:t>
      </w:r>
    </w:p>
    <w:bookmarkEnd w:id="141"/>
    <w:bookmarkStart w:id="143"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2">
        <w:r>
          <w:rPr>
            <w:rStyle w:val="Hyperlink"/>
          </w:rPr>
          <w:t xml:space="preserve">https://doi.org/10.1093/heapol/16.3.326</w:t>
        </w:r>
      </w:hyperlink>
      <w:r>
        <w:t xml:space="preserve">.</w:t>
      </w:r>
    </w:p>
    <w:bookmarkEnd w:id="143"/>
    <w:bookmarkStart w:id="145"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4">
        <w:r>
          <w:rPr>
            <w:rStyle w:val="Hyperlink"/>
          </w:rPr>
          <w:t xml:space="preserve">https://doi.org/10.6069/1D4Y-YQ37</w:t>
        </w:r>
      </w:hyperlink>
      <w:r>
        <w:t xml:space="preserve">.</w:t>
      </w:r>
    </w:p>
    <w:bookmarkEnd w:id="145"/>
    <w:bookmarkStart w:id="14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6">
        <w:r>
          <w:rPr>
            <w:rStyle w:val="Hyperlink"/>
          </w:rPr>
          <w:t xml:space="preserve">https://doi.org/10.1177/0272989x21995805</w:t>
        </w:r>
      </w:hyperlink>
      <w:r>
        <w:t xml:space="preserve">.</w:t>
      </w:r>
    </w:p>
    <w:bookmarkEnd w:id="147"/>
    <w:bookmarkStart w:id="149"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8">
        <w:r>
          <w:rPr>
            <w:rStyle w:val="Hyperlink"/>
          </w:rPr>
          <w:t xml:space="preserve">https://doi.org/10.1080/03081088108817379</w:t>
        </w:r>
      </w:hyperlink>
      <w:r>
        <w:t xml:space="preserve">.</w:t>
      </w:r>
    </w:p>
    <w:bookmarkEnd w:id="149"/>
    <w:bookmarkStart w:id="150"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50"/>
    <w:bookmarkStart w:id="151"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1"/>
    <w:bookmarkStart w:id="15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2">
        <w:r>
          <w:rPr>
            <w:rStyle w:val="Hyperlink"/>
          </w:rPr>
          <w:t xml:space="preserve">https://doi.org/10.1016/s0140-6736(20)30752-2</w:t>
        </w:r>
      </w:hyperlink>
      <w:r>
        <w:t xml:space="preserve">.</w:t>
      </w:r>
    </w:p>
    <w:bookmarkEnd w:id="153"/>
    <w:bookmarkStart w:id="15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4">
        <w:r>
          <w:rPr>
            <w:rStyle w:val="Hyperlink"/>
          </w:rPr>
          <w:t xml:space="preserve">https://doi.org/10.1016/s0140-6736(96)07493-4</w:t>
        </w:r>
      </w:hyperlink>
      <w:r>
        <w:t xml:space="preserve">.</w:t>
      </w:r>
    </w:p>
    <w:bookmarkEnd w:id="155"/>
    <w:bookmarkStart w:id="156"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6"/>
    <w:bookmarkStart w:id="158"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7">
        <w:r>
          <w:rPr>
            <w:rStyle w:val="Hyperlink"/>
          </w:rPr>
          <w:t xml:space="preserve">https://cdn.who.int/media/docs/default-source/gho-documents/global-health-estimates/ghe2019_daly-methods.pdf</w:t>
        </w:r>
      </w:hyperlink>
      <w:r>
        <w:t xml:space="preserve">.</w:t>
      </w:r>
    </w:p>
    <w:bookmarkEnd w:id="158"/>
    <w:bookmarkStart w:id="160"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9">
        <w:r>
          <w:rPr>
            <w:rStyle w:val="Hyperlink"/>
          </w:rPr>
          <w:t xml:space="preserve">https://doi.org/10.1016/j.jval.2016.04.015</w:t>
        </w:r>
      </w:hyperlink>
      <w:r>
        <w:t xml:space="preserve">.</w:t>
      </w:r>
    </w:p>
    <w:bookmarkEnd w:id="160"/>
    <w:bookmarkEnd w:id="161"/>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62"/>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8">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9">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7">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2">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4">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9">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3">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4">
        <w:r>
          <w:rPr>
            <w:rStyle w:val="Hyperlink"/>
          </w:rPr>
          <w:t xml:space="preserve">example here</w:t>
        </w:r>
      </w:hyperlink>
    </w:p>
  </w:footnote>
  <w:footnote w:id="65">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0">
    <w:p>
      <w:pPr>
        <w:pStyle w:val="FootnoteText"/>
      </w:pPr>
      <w:r>
        <w:rPr>
          <w:rStyle w:val="FootnoteReference"/>
        </w:rPr>
        <w:footnoteRef/>
      </w:r>
      <w:r>
        <w:t xml:space="preserve"> </w:t>
      </w:r>
      <w:r>
        <w:t xml:space="preserve">The method also easily accommodates other common outcomes such as QALYs and costs.</w:t>
      </w:r>
    </w:p>
  </w:footnote>
  <w:footnote w:id="71">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9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9">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33" Target="media/rId33.svg" /><Relationship Type="http://schemas.openxmlformats.org/officeDocument/2006/relationships/image" Id="rId40" Target="media/rId40.svg" /><Relationship Type="http://schemas.openxmlformats.org/officeDocument/2006/relationships/image" Id="rId55" Target="media/rId55.svg" /><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Ashley Leech; Jinyi Zhu; Marie Martin; Shawn Garbett</dc:creator>
  <cp:keywords>Cost-Effectiveness Analysis, Microsimulation, Discrete Event Simulation, Markov Cohort Models</cp:keywords>
  <dcterms:created xsi:type="dcterms:W3CDTF">2024-07-05T13:00:18Z</dcterms:created>
  <dcterms:modified xsi:type="dcterms:W3CDTF">2024-07-05T13:00:18Z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2024-03-21</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Modeling Disability-Adjusted Life Years for Policy and Decision Analysis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