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D3F5" w14:textId="77777777" w:rsidR="00F86553" w:rsidRDefault="00F86553" w:rsidP="002D5F70">
      <w:pPr>
        <w:spacing w:line="480" w:lineRule="auto"/>
        <w:jc w:val="center"/>
        <w:rPr>
          <w:rFonts w:eastAsiaTheme="minorEastAsia"/>
          <w:sz w:val="32"/>
          <w:szCs w:val="32"/>
        </w:rPr>
      </w:pPr>
    </w:p>
    <w:p w14:paraId="02BF08F2" w14:textId="77777777" w:rsidR="00F86553" w:rsidRDefault="00F86553" w:rsidP="002D5F70">
      <w:pPr>
        <w:spacing w:line="480" w:lineRule="auto"/>
        <w:jc w:val="center"/>
        <w:rPr>
          <w:rFonts w:eastAsiaTheme="minorEastAsia"/>
          <w:sz w:val="32"/>
          <w:szCs w:val="32"/>
        </w:rPr>
      </w:pPr>
    </w:p>
    <w:p w14:paraId="6A636644" w14:textId="77777777" w:rsidR="00F86553" w:rsidRDefault="00F86553" w:rsidP="002D5F70">
      <w:pPr>
        <w:spacing w:line="480" w:lineRule="auto"/>
        <w:jc w:val="center"/>
        <w:rPr>
          <w:rFonts w:eastAsiaTheme="minorEastAsia"/>
          <w:sz w:val="32"/>
          <w:szCs w:val="32"/>
        </w:rPr>
      </w:pPr>
    </w:p>
    <w:p w14:paraId="663231AE" w14:textId="77777777" w:rsidR="00F86553" w:rsidRDefault="00F86553" w:rsidP="002D5F70">
      <w:pPr>
        <w:spacing w:line="480" w:lineRule="auto"/>
        <w:jc w:val="center"/>
        <w:rPr>
          <w:rFonts w:eastAsiaTheme="minorEastAsia"/>
          <w:sz w:val="32"/>
          <w:szCs w:val="32"/>
        </w:rPr>
      </w:pPr>
    </w:p>
    <w:p w14:paraId="318D213E" w14:textId="02573252" w:rsidR="002D5F70" w:rsidRDefault="002D5F70" w:rsidP="002D5F70">
      <w:pPr>
        <w:spacing w:line="480" w:lineRule="auto"/>
        <w:jc w:val="center"/>
        <w:rPr>
          <w:rFonts w:eastAsiaTheme="minorEastAsia"/>
          <w:sz w:val="32"/>
          <w:szCs w:val="32"/>
        </w:rPr>
      </w:pPr>
      <w:r>
        <w:rPr>
          <w:rFonts w:eastAsiaTheme="minorEastAsia"/>
          <w:sz w:val="32"/>
          <w:szCs w:val="32"/>
        </w:rPr>
        <w:t>Ex Ante Policy Evaluation: A Unified Approach</w:t>
      </w:r>
    </w:p>
    <w:p w14:paraId="0E411DFE" w14:textId="77777777" w:rsidR="002D5F70" w:rsidRDefault="002D5F70" w:rsidP="002D5F70">
      <w:pPr>
        <w:spacing w:line="480" w:lineRule="auto"/>
        <w:jc w:val="center"/>
        <w:rPr>
          <w:rFonts w:eastAsiaTheme="minorEastAsia"/>
          <w:sz w:val="32"/>
          <w:szCs w:val="32"/>
        </w:rPr>
      </w:pPr>
    </w:p>
    <w:p w14:paraId="73286446" w14:textId="77777777" w:rsidR="002D5F70" w:rsidRDefault="002D5F70" w:rsidP="002D5F70">
      <w:pPr>
        <w:spacing w:line="480" w:lineRule="auto"/>
        <w:jc w:val="center"/>
        <w:rPr>
          <w:rFonts w:eastAsiaTheme="minorEastAsia"/>
          <w:sz w:val="32"/>
          <w:szCs w:val="32"/>
        </w:rPr>
      </w:pPr>
    </w:p>
    <w:p w14:paraId="6F9BCAD0" w14:textId="77777777" w:rsidR="002D5F70" w:rsidRPr="0076124F" w:rsidRDefault="002D5F70" w:rsidP="002D5F70">
      <w:pPr>
        <w:spacing w:line="480" w:lineRule="auto"/>
        <w:jc w:val="center"/>
        <w:rPr>
          <w:rFonts w:eastAsiaTheme="minorEastAsia"/>
          <w:szCs w:val="22"/>
        </w:rPr>
      </w:pPr>
      <w:r w:rsidRPr="0076124F">
        <w:rPr>
          <w:rFonts w:eastAsiaTheme="minorEastAsia"/>
          <w:szCs w:val="22"/>
        </w:rPr>
        <w:t>John A. Graves</w:t>
      </w:r>
    </w:p>
    <w:p w14:paraId="46C0714B" w14:textId="77777777" w:rsidR="002D5F70" w:rsidRPr="0076124F" w:rsidRDefault="002D5F70" w:rsidP="002D5F70">
      <w:pPr>
        <w:spacing w:line="480" w:lineRule="auto"/>
        <w:jc w:val="center"/>
        <w:rPr>
          <w:rFonts w:eastAsiaTheme="minorEastAsia"/>
          <w:i/>
          <w:iCs/>
          <w:szCs w:val="22"/>
        </w:rPr>
      </w:pPr>
      <w:r w:rsidRPr="0076124F">
        <w:rPr>
          <w:rFonts w:eastAsiaTheme="minorEastAsia"/>
          <w:i/>
          <w:iCs/>
          <w:szCs w:val="22"/>
        </w:rPr>
        <w:t>Vanderbilt University</w:t>
      </w:r>
    </w:p>
    <w:p w14:paraId="5FC71B18" w14:textId="77777777" w:rsidR="002D5F70" w:rsidRDefault="002D5F70" w:rsidP="002D5F70">
      <w:pPr>
        <w:spacing w:line="480" w:lineRule="auto"/>
        <w:jc w:val="center"/>
        <w:rPr>
          <w:rFonts w:eastAsiaTheme="minorEastAsia"/>
          <w:sz w:val="32"/>
          <w:szCs w:val="32"/>
        </w:rPr>
      </w:pPr>
    </w:p>
    <w:p w14:paraId="7467412E" w14:textId="77777777" w:rsidR="002D5F70" w:rsidRDefault="002D5F70" w:rsidP="002D5F70">
      <w:pPr>
        <w:spacing w:line="480" w:lineRule="auto"/>
        <w:jc w:val="center"/>
        <w:rPr>
          <w:rFonts w:eastAsiaTheme="minorEastAsia"/>
          <w:szCs w:val="22"/>
        </w:rPr>
      </w:pPr>
      <w:r>
        <w:rPr>
          <w:rFonts w:eastAsiaTheme="minorEastAsia"/>
          <w:szCs w:val="22"/>
        </w:rPr>
        <w:t>August 2019</w:t>
      </w:r>
    </w:p>
    <w:p w14:paraId="383C7D45" w14:textId="77777777" w:rsidR="002D5F70" w:rsidRDefault="002D5F70" w:rsidP="002D5F70">
      <w:pPr>
        <w:spacing w:line="480" w:lineRule="auto"/>
        <w:jc w:val="center"/>
        <w:rPr>
          <w:rFonts w:eastAsiaTheme="minorEastAsia"/>
          <w:szCs w:val="22"/>
        </w:rPr>
      </w:pPr>
    </w:p>
    <w:p w14:paraId="039E87C7" w14:textId="77777777" w:rsidR="002D5F70" w:rsidRDefault="002D5F70" w:rsidP="002D5F70">
      <w:pPr>
        <w:spacing w:line="480" w:lineRule="auto"/>
        <w:jc w:val="center"/>
        <w:rPr>
          <w:rFonts w:eastAsiaTheme="minorEastAsia"/>
          <w:szCs w:val="22"/>
        </w:rPr>
      </w:pPr>
    </w:p>
    <w:p w14:paraId="73CB8A3F" w14:textId="77777777" w:rsidR="002D5F70" w:rsidRDefault="002D5F70" w:rsidP="002D5F70">
      <w:pPr>
        <w:spacing w:line="480" w:lineRule="auto"/>
        <w:rPr>
          <w:rFonts w:eastAsiaTheme="minorEastAsia"/>
          <w:szCs w:val="22"/>
        </w:rPr>
      </w:pPr>
    </w:p>
    <w:p w14:paraId="278CD759" w14:textId="77777777" w:rsidR="002D5F70" w:rsidRDefault="002D5F70">
      <w:pPr>
        <w:rPr>
          <w:rFonts w:eastAsiaTheme="minorEastAsia"/>
          <w:szCs w:val="22"/>
        </w:rPr>
      </w:pPr>
      <w:r>
        <w:rPr>
          <w:rFonts w:eastAsiaTheme="minorEastAsia"/>
          <w:szCs w:val="22"/>
        </w:rPr>
        <w:br w:type="page"/>
      </w:r>
    </w:p>
    <w:p w14:paraId="6283927D" w14:textId="7D650564" w:rsidR="002D5F70" w:rsidRDefault="002D5F70" w:rsidP="002D5F70">
      <w:pPr>
        <w:spacing w:line="480" w:lineRule="auto"/>
        <w:ind w:firstLine="720"/>
        <w:rPr>
          <w:rFonts w:eastAsiaTheme="minorEastAsia"/>
          <w:szCs w:val="22"/>
        </w:rPr>
      </w:pPr>
      <w:r>
        <w:rPr>
          <w:rFonts w:eastAsiaTheme="minorEastAsia"/>
          <w:szCs w:val="22"/>
        </w:rPr>
        <w:lastRenderedPageBreak/>
        <w:t xml:space="preserve">Evaluation of policy change is the lifeblood of applied economic research. Often, evaluation is retrospective: a policy changes, data are collected, and researchers evaluate impact on welfare-relevant outcomes. This exercise is frequently conducted in service of a greater goal—namely, to make predictions based on theory about economic behavior, and to use policy change as a lens through which these predictions are tested. Knowledge produced through this exercise is then (ideally, but not always) applied to future policy to improve efficiency and human welfare. </w:t>
      </w:r>
    </w:p>
    <w:p w14:paraId="6C97AC22" w14:textId="346A47DB" w:rsidR="002D5F70" w:rsidRPr="001E4ADE" w:rsidRDefault="000E4901" w:rsidP="002D5F70">
      <w:pPr>
        <w:spacing w:line="480" w:lineRule="auto"/>
        <w:ind w:firstLine="720"/>
        <w:rPr>
          <w:rFonts w:eastAsiaTheme="minorEastAsia"/>
          <w:szCs w:val="22"/>
        </w:rPr>
      </w:pPr>
      <w:r>
        <w:rPr>
          <w:rFonts w:eastAsiaTheme="minorEastAsia"/>
          <w:szCs w:val="22"/>
        </w:rPr>
        <w:t>The</w:t>
      </w:r>
      <w:r w:rsidR="00DE302A">
        <w:rPr>
          <w:rFonts w:eastAsiaTheme="minorEastAsia"/>
          <w:szCs w:val="22"/>
        </w:rPr>
        <w:t xml:space="preserve"> primary focus</w:t>
      </w:r>
      <w:r w:rsidR="007B6FE6">
        <w:rPr>
          <w:rFonts w:eastAsiaTheme="minorEastAsia"/>
          <w:szCs w:val="22"/>
        </w:rPr>
        <w:t xml:space="preserve"> here</w:t>
      </w:r>
      <w:r w:rsidR="002D5F70">
        <w:rPr>
          <w:rFonts w:eastAsiaTheme="minorEastAsia"/>
          <w:szCs w:val="22"/>
        </w:rPr>
        <w:t xml:space="preserve"> is on a related but inverse exercise: </w:t>
      </w:r>
      <w:r w:rsidR="002D5F70" w:rsidRPr="00E62FAA">
        <w:rPr>
          <w:rFonts w:eastAsiaTheme="minorEastAsia"/>
          <w:szCs w:val="22"/>
        </w:rPr>
        <w:t>ex ante</w:t>
      </w:r>
      <w:r w:rsidR="002D5F70">
        <w:rPr>
          <w:rFonts w:eastAsiaTheme="minorEastAsia"/>
          <w:i/>
          <w:iCs/>
          <w:szCs w:val="22"/>
        </w:rPr>
        <w:t xml:space="preserve"> </w:t>
      </w:r>
      <w:r w:rsidR="002D5F70">
        <w:rPr>
          <w:rFonts w:eastAsiaTheme="minorEastAsia"/>
          <w:szCs w:val="22"/>
        </w:rPr>
        <w:t xml:space="preserve">policy evaluation. Under this approach, empirical estimates serve as inputs </w:t>
      </w:r>
      <w:r w:rsidR="002D5F70" w:rsidRPr="00AF48FB">
        <w:rPr>
          <w:rFonts w:eastAsiaTheme="minorEastAsia"/>
          <w:i/>
          <w:iCs/>
          <w:szCs w:val="22"/>
        </w:rPr>
        <w:t>to</w:t>
      </w:r>
      <w:r w:rsidR="002D5F70">
        <w:rPr>
          <w:rFonts w:eastAsiaTheme="minorEastAsia"/>
          <w:szCs w:val="22"/>
        </w:rPr>
        <w:t xml:space="preserve"> rather than outputs </w:t>
      </w:r>
      <w:r w:rsidR="002D5F70" w:rsidRPr="00AF48FB">
        <w:rPr>
          <w:rFonts w:eastAsiaTheme="minorEastAsia"/>
          <w:i/>
          <w:iCs/>
          <w:szCs w:val="22"/>
        </w:rPr>
        <w:t>from</w:t>
      </w:r>
      <w:r w:rsidR="002D5F70">
        <w:rPr>
          <w:rFonts w:eastAsiaTheme="minorEastAsia"/>
          <w:szCs w:val="22"/>
        </w:rPr>
        <w:t xml:space="preserve"> the </w:t>
      </w:r>
      <w:r w:rsidR="00784390">
        <w:rPr>
          <w:rFonts w:eastAsiaTheme="minorEastAsia"/>
          <w:szCs w:val="22"/>
        </w:rPr>
        <w:t xml:space="preserve">policy </w:t>
      </w:r>
      <w:r w:rsidR="002D5F70">
        <w:rPr>
          <w:rFonts w:eastAsiaTheme="minorEastAsia"/>
          <w:szCs w:val="22"/>
        </w:rPr>
        <w:t xml:space="preserve">evaluation process. Typically, a model of economic behavior is conceptualized around </w:t>
      </w:r>
      <w:r w:rsidR="008B3F95">
        <w:rPr>
          <w:rFonts w:eastAsiaTheme="minorEastAsia"/>
          <w:szCs w:val="22"/>
        </w:rPr>
        <w:t>a</w:t>
      </w:r>
      <w:r w:rsidR="002D5F70">
        <w:rPr>
          <w:rFonts w:eastAsiaTheme="minorEastAsia"/>
          <w:szCs w:val="22"/>
        </w:rPr>
        <w:t xml:space="preserve"> theoretic scaffold (e.g., utility maximization in a model of discrete choice). This framework is </w:t>
      </w:r>
      <w:r w:rsidR="00FC4D2A">
        <w:rPr>
          <w:rFonts w:eastAsiaTheme="minorEastAsia"/>
          <w:szCs w:val="22"/>
        </w:rPr>
        <w:t xml:space="preserve">then </w:t>
      </w:r>
      <w:r w:rsidR="002D5F70">
        <w:rPr>
          <w:rFonts w:eastAsiaTheme="minorEastAsia"/>
          <w:szCs w:val="22"/>
        </w:rPr>
        <w:t xml:space="preserve">coupled with </w:t>
      </w:r>
      <w:r w:rsidR="00D25B8F">
        <w:rPr>
          <w:rFonts w:eastAsiaTheme="minorEastAsia"/>
          <w:szCs w:val="22"/>
        </w:rPr>
        <w:t>micro-</w:t>
      </w:r>
      <w:r w:rsidR="002D5F70">
        <w:rPr>
          <w:rFonts w:eastAsiaTheme="minorEastAsia"/>
          <w:szCs w:val="22"/>
        </w:rPr>
        <w:t xml:space="preserve">data on individuals, firms, and other decision-making </w:t>
      </w:r>
      <w:r w:rsidR="00DD5314">
        <w:rPr>
          <w:rFonts w:eastAsiaTheme="minorEastAsia"/>
          <w:szCs w:val="22"/>
        </w:rPr>
        <w:t>agents</w:t>
      </w:r>
      <w:r w:rsidR="002D5F70">
        <w:rPr>
          <w:rFonts w:eastAsiaTheme="minorEastAsia"/>
          <w:szCs w:val="22"/>
        </w:rPr>
        <w:t xml:space="preserve">. Combined, these elements constitute a simulation model of human behavior or some other policy-relevant decision-making process (e.g., the progression of a disease or the adoption of a new technology). The model is further adorned with structural and behavioral parameters </w:t>
      </w:r>
      <w:r w:rsidR="000655FD">
        <w:rPr>
          <w:rFonts w:eastAsiaTheme="minorEastAsia"/>
          <w:szCs w:val="22"/>
        </w:rPr>
        <w:t xml:space="preserve">derived </w:t>
      </w:r>
      <w:r w:rsidR="002D5F70">
        <w:rPr>
          <w:rFonts w:eastAsiaTheme="minorEastAsia"/>
          <w:szCs w:val="22"/>
        </w:rPr>
        <w:t>from existing evidence or, in cases where the empirical literature has not yet rendered reliable estimates, from judgment calls consistent with the underlying theory. Policy reforms are propagated through the model by simulating responses to changes in price, choice sets, health technologies, tax schedules, etc.  Model</w:t>
      </w:r>
      <w:r w:rsidR="00663B89">
        <w:rPr>
          <w:rFonts w:eastAsiaTheme="minorEastAsia"/>
          <w:szCs w:val="22"/>
        </w:rPr>
        <w:t>s</w:t>
      </w:r>
      <w:r w:rsidR="002D5F70">
        <w:rPr>
          <w:rFonts w:eastAsiaTheme="minorEastAsia"/>
          <w:szCs w:val="22"/>
        </w:rPr>
        <w:t xml:space="preserve"> then </w:t>
      </w:r>
      <w:r w:rsidR="00326A10">
        <w:rPr>
          <w:rFonts w:eastAsiaTheme="minorEastAsia"/>
          <w:szCs w:val="22"/>
        </w:rPr>
        <w:t>summarize</w:t>
      </w:r>
      <w:r w:rsidR="002D5F70">
        <w:rPr>
          <w:rFonts w:eastAsiaTheme="minorEastAsia"/>
          <w:szCs w:val="22"/>
        </w:rPr>
        <w:t xml:space="preserve"> an array of policy- and welfare-relevant outputs (e.g., changes in demand for goods and services, quality-adjusted life expectancy, changes in health insurance coverage and premiums, changes in federal tax revenues and outlays, etc.). These outputs are (again, ideally, but not always) disseminated to inform policymakers’ decisions on the design and/or adoption of policy.  </w:t>
      </w:r>
    </w:p>
    <w:p w14:paraId="11B395AE" w14:textId="58178F5C" w:rsidR="002D5F70" w:rsidRDefault="002D5F70" w:rsidP="002D5F70">
      <w:pPr>
        <w:spacing w:line="480" w:lineRule="auto"/>
        <w:ind w:firstLine="720"/>
        <w:rPr>
          <w:rFonts w:eastAsiaTheme="minorEastAsia"/>
          <w:szCs w:val="22"/>
        </w:rPr>
      </w:pPr>
      <w:r>
        <w:rPr>
          <w:rFonts w:eastAsiaTheme="minorEastAsia"/>
          <w:szCs w:val="22"/>
        </w:rPr>
        <w:t xml:space="preserve">In the United States, the Congressional Budget Office (CBO) is the most important practitioner of ex ante evaluation. </w:t>
      </w:r>
      <w:r w:rsidR="002516E7">
        <w:rPr>
          <w:rFonts w:eastAsiaTheme="minorEastAsia"/>
          <w:szCs w:val="22"/>
        </w:rPr>
        <w:t>The CBO has played a c</w:t>
      </w:r>
      <w:r w:rsidR="001905AE">
        <w:rPr>
          <w:rFonts w:eastAsiaTheme="minorEastAsia"/>
          <w:szCs w:val="22"/>
        </w:rPr>
        <w:t>entral</w:t>
      </w:r>
      <w:r w:rsidR="002516E7">
        <w:rPr>
          <w:rFonts w:eastAsiaTheme="minorEastAsia"/>
          <w:szCs w:val="22"/>
        </w:rPr>
        <w:t xml:space="preserve"> role</w:t>
      </w:r>
      <w:r>
        <w:rPr>
          <w:rFonts w:eastAsiaTheme="minorEastAsia"/>
          <w:szCs w:val="22"/>
        </w:rPr>
        <w:t xml:space="preserve"> in shaping the trajectory of federal policymaking over the last generation. </w:t>
      </w:r>
      <w:r w:rsidR="00E03B3B">
        <w:rPr>
          <w:rFonts w:eastAsiaTheme="minorEastAsia"/>
          <w:szCs w:val="22"/>
        </w:rPr>
        <w:t>As one Senator</w:t>
      </w:r>
      <w:r>
        <w:rPr>
          <w:rFonts w:eastAsiaTheme="minorEastAsia"/>
          <w:szCs w:val="22"/>
        </w:rPr>
        <w:t xml:space="preserve"> famously </w:t>
      </w:r>
      <w:r w:rsidR="00E03B3B">
        <w:rPr>
          <w:rFonts w:eastAsiaTheme="minorEastAsia"/>
          <w:szCs w:val="22"/>
        </w:rPr>
        <w:t>said,</w:t>
      </w:r>
      <w:r>
        <w:rPr>
          <w:rFonts w:eastAsiaTheme="minorEastAsia"/>
          <w:szCs w:val="22"/>
        </w:rPr>
        <w:t xml:space="preserve"> the recent history of U.S. health reform </w:t>
      </w:r>
      <w:r w:rsidR="00E03B3B">
        <w:rPr>
          <w:rFonts w:eastAsiaTheme="minorEastAsia"/>
          <w:szCs w:val="22"/>
        </w:rPr>
        <w:t>can be summarized as</w:t>
      </w:r>
      <w:r>
        <w:rPr>
          <w:rFonts w:eastAsiaTheme="minorEastAsia"/>
          <w:szCs w:val="22"/>
        </w:rPr>
        <w:t xml:space="preserve"> Congress “sending health legislation off to the Congressional Budget Office to die.”</w:t>
      </w:r>
      <w:r>
        <w:rPr>
          <w:rStyle w:val="FootnoteReference"/>
          <w:rFonts w:eastAsiaTheme="minorEastAsia"/>
          <w:szCs w:val="22"/>
        </w:rPr>
        <w:footnoteReference w:id="1"/>
      </w:r>
      <w:r>
        <w:rPr>
          <w:rFonts w:eastAsiaTheme="minorEastAsia"/>
          <w:szCs w:val="22"/>
        </w:rPr>
        <w:t xml:space="preserve"> </w:t>
      </w:r>
    </w:p>
    <w:p w14:paraId="3181FB78" w14:textId="65969C9E" w:rsidR="002D5F70" w:rsidRDefault="002D5F70" w:rsidP="002D5F70">
      <w:pPr>
        <w:spacing w:line="480" w:lineRule="auto"/>
        <w:ind w:firstLine="720"/>
        <w:rPr>
          <w:rFonts w:eastAsiaTheme="minorEastAsia"/>
          <w:szCs w:val="22"/>
        </w:rPr>
      </w:pPr>
      <w:r>
        <w:rPr>
          <w:rFonts w:eastAsiaTheme="minorEastAsia"/>
          <w:szCs w:val="22"/>
        </w:rPr>
        <w:lastRenderedPageBreak/>
        <w:t xml:space="preserve">Ex ante policy evaluation also plays an important role in determining the pricing and reimbursement for goods and services worldwide. Entities such as the National Institute for Health Care Excellence (NICE) in the United Kingdom </w:t>
      </w:r>
      <w:r w:rsidR="008207A1">
        <w:rPr>
          <w:rFonts w:eastAsiaTheme="minorEastAsia"/>
          <w:szCs w:val="22"/>
        </w:rPr>
        <w:t xml:space="preserve">(UK) </w:t>
      </w:r>
      <w:r>
        <w:rPr>
          <w:rFonts w:eastAsiaTheme="minorEastAsia"/>
          <w:szCs w:val="22"/>
        </w:rPr>
        <w:t xml:space="preserve">commission simulation analyses of the cost and quality-adjusted life year </w:t>
      </w:r>
      <w:r w:rsidR="00F964D6">
        <w:rPr>
          <w:rFonts w:eastAsiaTheme="minorEastAsia"/>
          <w:szCs w:val="22"/>
        </w:rPr>
        <w:t xml:space="preserve">(QALY) </w:t>
      </w:r>
      <w:r w:rsidR="00273363">
        <w:rPr>
          <w:rFonts w:eastAsiaTheme="minorEastAsia"/>
          <w:szCs w:val="22"/>
        </w:rPr>
        <w:t>benefits</w:t>
      </w:r>
      <w:r>
        <w:rPr>
          <w:rFonts w:eastAsiaTheme="minorEastAsia"/>
          <w:szCs w:val="22"/>
        </w:rPr>
        <w:t xml:space="preserve"> of health technologies. Results from these studies are used to determine coverage policy within the National Health Service</w:t>
      </w:r>
      <w:r w:rsidR="0086058C">
        <w:rPr>
          <w:rFonts w:eastAsiaTheme="minorEastAsia"/>
          <w:szCs w:val="22"/>
        </w:rPr>
        <w:t xml:space="preserve"> in the UK and in other government-sponsored health systems</w:t>
      </w:r>
      <w:r>
        <w:rPr>
          <w:rFonts w:eastAsiaTheme="minorEastAsia"/>
          <w:szCs w:val="22"/>
        </w:rPr>
        <w:t xml:space="preserve">. Microsimulation models have also been developed by government and non-government agencies to project the consequences of changes to tax and transfer policy, education policy, and food policy, among others (TK CITES). </w:t>
      </w:r>
    </w:p>
    <w:p w14:paraId="6298FA77" w14:textId="70AF5984" w:rsidR="002D5F70" w:rsidRDefault="002D5F70" w:rsidP="002D5F70">
      <w:pPr>
        <w:spacing w:line="480" w:lineRule="auto"/>
        <w:ind w:firstLine="720"/>
        <w:rPr>
          <w:rFonts w:eastAsiaTheme="minorEastAsia"/>
          <w:szCs w:val="22"/>
        </w:rPr>
      </w:pPr>
      <w:r>
        <w:rPr>
          <w:rFonts w:eastAsiaTheme="minorEastAsia"/>
          <w:szCs w:val="22"/>
        </w:rPr>
        <w:t xml:space="preserve">Despite the </w:t>
      </w:r>
      <w:r w:rsidR="005B7419">
        <w:rPr>
          <w:rFonts w:eastAsiaTheme="minorEastAsia"/>
          <w:szCs w:val="22"/>
        </w:rPr>
        <w:t>central</w:t>
      </w:r>
      <w:r>
        <w:rPr>
          <w:rFonts w:eastAsiaTheme="minorEastAsia"/>
          <w:szCs w:val="22"/>
        </w:rPr>
        <w:t xml:space="preserve"> role played by simulation modeling in the policymaking process, scant formal attention has been paid to the theory, design and integration of ex ante evaluation within the broader economic research enterprise. The one </w:t>
      </w:r>
      <w:r w:rsidR="008E10CB">
        <w:rPr>
          <w:rFonts w:eastAsiaTheme="minorEastAsia"/>
          <w:szCs w:val="22"/>
        </w:rPr>
        <w:t xml:space="preserve">notable </w:t>
      </w:r>
      <w:r>
        <w:rPr>
          <w:rFonts w:eastAsiaTheme="minorEastAsia"/>
          <w:szCs w:val="22"/>
        </w:rPr>
        <w:t xml:space="preserve">exception is health technology assessment, where rigorous standards for conduct, methods and reporting have been </w:t>
      </w:r>
      <w:r w:rsidR="00FF7B6D">
        <w:rPr>
          <w:rFonts w:eastAsiaTheme="minorEastAsia"/>
          <w:szCs w:val="22"/>
        </w:rPr>
        <w:t>developed</w:t>
      </w:r>
      <w:r>
        <w:rPr>
          <w:rFonts w:eastAsiaTheme="minorEastAsia"/>
          <w:szCs w:val="22"/>
        </w:rPr>
        <w:t xml:space="preserve"> by the Panel on Cost-Effectiveness in Health and Medicine</w:t>
      </w:r>
      <w:r w:rsidR="00D33B90">
        <w:rPr>
          <w:rFonts w:eastAsiaTheme="minorEastAsia"/>
          <w:szCs w:val="22"/>
        </w:rPr>
        <w:t xml:space="preserve"> </w:t>
      </w:r>
      <w:r w:rsidR="00D33B90">
        <w:rPr>
          <w:rFonts w:eastAsiaTheme="minorEastAsia"/>
          <w:szCs w:val="22"/>
        </w:rPr>
        <w:fldChar w:fldCharType="begin"/>
      </w:r>
      <w:r w:rsidR="00D33B90">
        <w:rPr>
          <w:rFonts w:eastAsiaTheme="minorEastAsia"/>
          <w:szCs w:val="22"/>
        </w:rPr>
        <w:instrText xml:space="preserve"> ADDIN ZOTERO_ITEM CSL_CITATION {"citationID":"LPaOerT5","properties":{"formattedCitation":"(Weinstein et al. 1996; Sanders et al. 2016)","plainCitation":"(Weinstein et al. 1996; Sanders et al. 2016)","noteIndex":0},"citationItems":[{"id":7423,"uris":["http://zotero.org/users/620102/items/CWVJ6HDF"],"uri":["http://zotero.org/users/620102/items/CWVJ6HDF"],"itemData":{"id":7423,"type":"article-journal","title":"Recommendations of the Panel on Cost-effectiveness in Health and Medicine","container-title":"Jama","page":"1253–1258","volume":"276","issue":"15","source":"Google Scholar","author":[{"family":"Weinstein","given":"Milton C."},{"family":"Siegel","given":"Joanna E."},{"family":"Gold","given":"Marthe R."},{"family":"Kamlet","given":"Mark S."},{"family":"Russell","given":"Louise B."}],"issued":{"date-parts":[["1996"]]}}},{"id":6644,"uris":["http://zotero.org/users/620102/items/B9ZK52Q6"],"uri":["http://zotero.org/users/620102/items/B9ZK52Q6"],"itemData":{"id":6644,"type":"article-journal","title":"Recommendations for Conduct, Methodological Practices, and Reporting of Cost-effectiveness Analyses: Second Panel on Cost-Effectiveness in Health and Medicine","container-title":"JAMA","page":"1093","volume":"316","issue":"10","source":"CrossRef","DOI":"10.1001/jama.2016.12195","ISSN":"0098-7484","title-short":"Recommendations for Conduct, Methodological Practices, and Reporting of Cost-effectiveness Analyses","language":"en","author":[{"family":"Sanders","given":"Gillian D."},{"family":"Neumann","given":"Peter J."},{"family":"Basu","given":"Anirban"},{"family":"Brock","given":"Dan W."},{"family":"Feeny","given":"David"},{"family":"Krahn","given":"Murray"},{"family":"Kuntz","given":"Karen M."},{"family":"Meltzer","given":"David O."},{"family":"Owens","given":"Douglas K."},{"family":"Prosser","given":"Lisa A."},{"family":"Salomon","given":"Joshua A."},{"family":"Sculpher","given":"Mark J."},{"family":"Trikalinos","given":"Thomas A."},{"family":"Russell","given":"Louise B."},{"family":"Siegel","given":"Joanna E."},{"family":"Ganiats","given":"Theodore G."}],"issued":{"date-parts":[["2016",9,13]]}}}],"schema":"https://github.com/citation-style-language/schema/raw/master/csl-citation.json"} </w:instrText>
      </w:r>
      <w:r w:rsidR="00D33B90">
        <w:rPr>
          <w:rFonts w:eastAsiaTheme="minorEastAsia"/>
          <w:szCs w:val="22"/>
        </w:rPr>
        <w:fldChar w:fldCharType="separate"/>
      </w:r>
      <w:r w:rsidR="00D33B90">
        <w:rPr>
          <w:rFonts w:eastAsiaTheme="minorEastAsia"/>
          <w:noProof/>
          <w:szCs w:val="22"/>
        </w:rPr>
        <w:t>(Weinstein et al. 1996; Sanders et al. 2016)</w:t>
      </w:r>
      <w:r w:rsidR="00D33B90">
        <w:rPr>
          <w:rFonts w:eastAsiaTheme="minorEastAsia"/>
          <w:szCs w:val="22"/>
        </w:rPr>
        <w:fldChar w:fldCharType="end"/>
      </w:r>
      <w:r>
        <w:rPr>
          <w:rFonts w:eastAsiaTheme="minorEastAsia"/>
          <w:szCs w:val="22"/>
        </w:rPr>
        <w:t>.</w:t>
      </w:r>
      <w:r w:rsidR="00B713AA">
        <w:rPr>
          <w:rFonts w:eastAsiaTheme="minorEastAsia"/>
          <w:szCs w:val="22"/>
        </w:rPr>
        <w:t xml:space="preserve"> </w:t>
      </w:r>
    </w:p>
    <w:p w14:paraId="21CD9933" w14:textId="3A52CF57" w:rsidR="002D5F70" w:rsidRDefault="002D5F70" w:rsidP="002D5F70">
      <w:pPr>
        <w:spacing w:line="480" w:lineRule="auto"/>
        <w:ind w:firstLine="720"/>
        <w:rPr>
          <w:rFonts w:eastAsiaTheme="minorEastAsia"/>
          <w:szCs w:val="22"/>
        </w:rPr>
      </w:pPr>
      <w:r>
        <w:rPr>
          <w:rFonts w:eastAsiaTheme="minorEastAsia"/>
          <w:szCs w:val="22"/>
        </w:rPr>
        <w:t>To the extent there are explicit linkages between ex post and ex ante evaluation, the</w:t>
      </w:r>
      <w:r w:rsidR="00D71599">
        <w:rPr>
          <w:rFonts w:eastAsiaTheme="minorEastAsia"/>
          <w:szCs w:val="22"/>
        </w:rPr>
        <w:t>y</w:t>
      </w:r>
      <w:r>
        <w:rPr>
          <w:rFonts w:eastAsiaTheme="minorEastAsia"/>
          <w:szCs w:val="22"/>
        </w:rPr>
        <w:t xml:space="preserve"> are </w:t>
      </w:r>
      <w:r w:rsidR="00762A3B">
        <w:rPr>
          <w:rFonts w:eastAsiaTheme="minorEastAsia"/>
          <w:szCs w:val="22"/>
        </w:rPr>
        <w:t xml:space="preserve">typically </w:t>
      </w:r>
      <w:r>
        <w:rPr>
          <w:rFonts w:eastAsiaTheme="minorEastAsia"/>
          <w:szCs w:val="22"/>
        </w:rPr>
        <w:t xml:space="preserve">relegated to simple, back-of-the-envelope counterfactual policy </w:t>
      </w:r>
      <w:r w:rsidR="00FD313B">
        <w:rPr>
          <w:rFonts w:eastAsiaTheme="minorEastAsia"/>
          <w:szCs w:val="22"/>
        </w:rPr>
        <w:t>simulations</w:t>
      </w:r>
      <w:r>
        <w:rPr>
          <w:rFonts w:eastAsiaTheme="minorEastAsia"/>
          <w:szCs w:val="22"/>
        </w:rPr>
        <w:t xml:space="preserve"> that appear at the tail end of empirical and theoretic research manuscripts. Rarely do these exercises draw on a formal approach to comparative welfare analysi</w:t>
      </w:r>
      <w:r w:rsidR="00244182">
        <w:rPr>
          <w:rFonts w:eastAsiaTheme="minorEastAsia"/>
          <w:szCs w:val="22"/>
        </w:rPr>
        <w:t xml:space="preserve">s </w:t>
      </w:r>
      <w:r w:rsidR="00244182">
        <w:rPr>
          <w:rFonts w:eastAsiaTheme="minorEastAsia"/>
          <w:szCs w:val="22"/>
        </w:rPr>
        <w:fldChar w:fldCharType="begin"/>
      </w:r>
      <w:r w:rsidR="00244182">
        <w:rPr>
          <w:rFonts w:eastAsiaTheme="minorEastAsia"/>
          <w:szCs w:val="22"/>
        </w:rPr>
        <w:instrText xml:space="preserve"> ADDIN ZOTERO_ITEM CSL_CITATION {"citationID":"LR2HZGTQ","properties":{"formattedCitation":"(Hendren and Sprung-Keyser 2019)","plainCitation":"(Hendren and Sprung-Keyser 2019)","noteIndex":0},"citationItems":[{"id":7417,"uris":["http://zotero.org/users/620102/items/TCYWKDTF"],"uri":["http://zotero.org/users/620102/items/TCYWKDTF"],"itemData":{"id":7417,"type":"manuscript","title":"A Unified Welfare Analysis of Government Policies","genre":"Working Paper","URL":"https://opportunityinsights.org/wp-content/uploads/2019/07/Welfare_paper.pdf","author":[{"family":"Hendren","given":"Nathaniel"},{"family":"Sprung-Keyser","given":"Ben"}],"issued":{"date-parts":[["2019",7]]}}}],"schema":"https://github.com/citation-style-language/schema/raw/master/csl-citation.json"} </w:instrText>
      </w:r>
      <w:r w:rsidR="00244182">
        <w:rPr>
          <w:rFonts w:eastAsiaTheme="minorEastAsia"/>
          <w:szCs w:val="22"/>
        </w:rPr>
        <w:fldChar w:fldCharType="separate"/>
      </w:r>
      <w:r w:rsidR="00244182">
        <w:rPr>
          <w:rFonts w:eastAsiaTheme="minorEastAsia"/>
          <w:noProof/>
          <w:szCs w:val="22"/>
        </w:rPr>
        <w:t>(Hendren and Sprung-Keyser 2019)</w:t>
      </w:r>
      <w:r w:rsidR="00244182">
        <w:rPr>
          <w:rFonts w:eastAsiaTheme="minorEastAsia"/>
          <w:szCs w:val="22"/>
        </w:rPr>
        <w:fldChar w:fldCharType="end"/>
      </w:r>
      <w:r>
        <w:rPr>
          <w:rFonts w:eastAsiaTheme="minorEastAsia"/>
          <w:szCs w:val="22"/>
        </w:rPr>
        <w:t xml:space="preserve">.  </w:t>
      </w:r>
      <w:r w:rsidR="00137CD5">
        <w:rPr>
          <w:rFonts w:eastAsiaTheme="minorEastAsia"/>
          <w:szCs w:val="22"/>
        </w:rPr>
        <w:t xml:space="preserve">Even more rarely do </w:t>
      </w:r>
      <w:r w:rsidR="00ED52D2">
        <w:rPr>
          <w:rFonts w:eastAsiaTheme="minorEastAsia"/>
          <w:szCs w:val="22"/>
        </w:rPr>
        <w:t xml:space="preserve">they </w:t>
      </w:r>
      <w:r>
        <w:rPr>
          <w:rFonts w:eastAsiaTheme="minorEastAsia"/>
          <w:szCs w:val="22"/>
        </w:rPr>
        <w:t>grapple with the role of estimation</w:t>
      </w:r>
      <w:r w:rsidR="007520CB">
        <w:rPr>
          <w:rFonts w:eastAsiaTheme="minorEastAsia"/>
          <w:szCs w:val="22"/>
        </w:rPr>
        <w:t>, sampling and structural model</w:t>
      </w:r>
      <w:r>
        <w:rPr>
          <w:rFonts w:eastAsiaTheme="minorEastAsia"/>
          <w:szCs w:val="22"/>
        </w:rPr>
        <w:t xml:space="preserve"> uncertainty in </w:t>
      </w:r>
      <w:r w:rsidR="00ED0D75">
        <w:rPr>
          <w:rFonts w:eastAsiaTheme="minorEastAsia"/>
          <w:szCs w:val="22"/>
        </w:rPr>
        <w:t xml:space="preserve">guiding </w:t>
      </w:r>
      <w:r w:rsidR="009E658F">
        <w:rPr>
          <w:rFonts w:eastAsiaTheme="minorEastAsia"/>
          <w:szCs w:val="22"/>
        </w:rPr>
        <w:t xml:space="preserve">policy </w:t>
      </w:r>
      <w:r w:rsidR="00ED0D75">
        <w:rPr>
          <w:rFonts w:eastAsiaTheme="minorEastAsia"/>
          <w:szCs w:val="22"/>
        </w:rPr>
        <w:t xml:space="preserve">recommendations </w:t>
      </w:r>
      <w:r>
        <w:rPr>
          <w:rFonts w:eastAsiaTheme="minorEastAsia"/>
          <w:szCs w:val="22"/>
        </w:rPr>
        <w:t xml:space="preserve">and the direction of future research. </w:t>
      </w:r>
    </w:p>
    <w:p w14:paraId="677AF791" w14:textId="79E86AB1" w:rsidR="002D5F70" w:rsidRDefault="002D5F70" w:rsidP="002D5F70">
      <w:pPr>
        <w:spacing w:line="480" w:lineRule="auto"/>
        <w:ind w:firstLine="720"/>
        <w:rPr>
          <w:rFonts w:eastAsiaTheme="minorEastAsia"/>
          <w:szCs w:val="22"/>
        </w:rPr>
      </w:pPr>
      <w:r>
        <w:rPr>
          <w:rFonts w:eastAsiaTheme="minorEastAsia"/>
          <w:szCs w:val="22"/>
        </w:rPr>
        <w:t xml:space="preserve">These shortcomings extend to </w:t>
      </w:r>
      <w:r w:rsidR="00651A9B">
        <w:rPr>
          <w:rFonts w:eastAsiaTheme="minorEastAsia"/>
          <w:szCs w:val="22"/>
        </w:rPr>
        <w:t xml:space="preserve">many </w:t>
      </w:r>
      <w:r w:rsidR="00B2254D">
        <w:rPr>
          <w:rFonts w:eastAsiaTheme="minorEastAsia"/>
          <w:szCs w:val="22"/>
        </w:rPr>
        <w:t>policy</w:t>
      </w:r>
      <w:r>
        <w:rPr>
          <w:rFonts w:eastAsiaTheme="minorEastAsia"/>
          <w:szCs w:val="22"/>
        </w:rPr>
        <w:t xml:space="preserve"> </w:t>
      </w:r>
      <w:r w:rsidR="00AC2A87">
        <w:rPr>
          <w:rFonts w:eastAsiaTheme="minorEastAsia"/>
          <w:szCs w:val="22"/>
        </w:rPr>
        <w:t>simulation</w:t>
      </w:r>
      <w:r>
        <w:rPr>
          <w:rFonts w:eastAsiaTheme="minorEastAsia"/>
          <w:szCs w:val="22"/>
        </w:rPr>
        <w:t xml:space="preserve"> model</w:t>
      </w:r>
      <w:r w:rsidR="001A2004">
        <w:rPr>
          <w:rFonts w:eastAsiaTheme="minorEastAsia"/>
          <w:szCs w:val="22"/>
        </w:rPr>
        <w:t>s</w:t>
      </w:r>
      <w:r>
        <w:rPr>
          <w:rFonts w:eastAsiaTheme="minorEastAsia"/>
          <w:szCs w:val="22"/>
        </w:rPr>
        <w:t xml:space="preserve"> as well.  </w:t>
      </w:r>
      <w:r w:rsidR="00ED5C48">
        <w:rPr>
          <w:rFonts w:eastAsiaTheme="minorEastAsia"/>
          <w:szCs w:val="22"/>
        </w:rPr>
        <w:t>For example,</w:t>
      </w:r>
      <w:r>
        <w:rPr>
          <w:rFonts w:eastAsiaTheme="minorEastAsia"/>
          <w:szCs w:val="22"/>
        </w:rPr>
        <w:t xml:space="preserve"> models often produce an array of welfare-relevant outputs and leave it to policymakers to weigh these factors when making decisions</w:t>
      </w:r>
      <w:r w:rsidR="00CD1020">
        <w:rPr>
          <w:rFonts w:eastAsiaTheme="minorEastAsia"/>
          <w:szCs w:val="22"/>
        </w:rPr>
        <w:t xml:space="preserve"> </w:t>
      </w:r>
      <w:r w:rsidR="00CD1020">
        <w:rPr>
          <w:rFonts w:eastAsiaTheme="minorEastAsia"/>
          <w:szCs w:val="22"/>
        </w:rPr>
        <w:fldChar w:fldCharType="begin"/>
      </w:r>
      <w:r w:rsidR="00CD1020">
        <w:rPr>
          <w:rFonts w:eastAsiaTheme="minorEastAsia"/>
          <w:szCs w:val="22"/>
        </w:rPr>
        <w:instrText xml:space="preserve"> ADDIN ZOTERO_ITEM CSL_CITATION {"citationID":"glfpumDC","properties":{"formattedCitation":"(Finkelstein, Hendren, and Luttmer 2019; Finkelstein, Hendren, and Shepard 2019)","plainCitation":"(Finkelstein, Hendren, and Luttmer 2019; Finkelstein, Hendren, and Shepard 2019)","noteIndex":0},"citationItems":[{"id":7421,"uris":["http://zotero.org/users/620102/items/GSMG5PSB"],"uri":["http://zotero.org/users/620102/items/GSMG5PSB"],"itemData":{"id":7421,"type":"article-journal","title":"The Value of Medicaid: Interpreting Results from the Oregon Health Insurance Experiment","container-title":"Journal of Political Economy","volume":"Forthcoming","source":"Google Scholar","title-short":"Forthcoming. The Value of Medicaid","author":[{"family":"Finkelstein","given":"Amy"},{"family":"Hendren","given":"Nathaniel"},{"family":"Luttmer","given":"Erzo FP"}],"issued":{"date-parts":[["2019"]]}}},{"id":7418,"uris":["http://zotero.org/users/620102/items/A7S5UHER"],"uri":["http://zotero.org/users/620102/items/A7S5UHER"],"itemData":{"id":7418,"type":"article-journal","title":"Subsidizing health insurance for low-income adults: Evidence from Massachusetts","container-title":"American Economic Review","page":"1530–67","volume":"109","issue":"4","source":"Google Scholar","title-short":"Subsidizing health insurance for low-income adults","author":[{"family":"Finkelstein","given":"Amy"},{"family":"Hendren","given":"Nathaniel"},{"family":"Shepard","given":"Mark"}],"issued":{"date-parts":[["2019"]]}}}],"schema":"https://github.com/citation-style-language/schema/raw/master/csl-citation.json"} </w:instrText>
      </w:r>
      <w:r w:rsidR="00CD1020">
        <w:rPr>
          <w:rFonts w:eastAsiaTheme="minorEastAsia"/>
          <w:szCs w:val="22"/>
        </w:rPr>
        <w:fldChar w:fldCharType="separate"/>
      </w:r>
      <w:r w:rsidR="00CD1020">
        <w:rPr>
          <w:rFonts w:eastAsiaTheme="minorEastAsia"/>
          <w:noProof/>
          <w:szCs w:val="22"/>
        </w:rPr>
        <w:t>(Finkelstein, Hendren, and Luttmer 2019; Finkelstein, Hendren, and Shepard 2019)</w:t>
      </w:r>
      <w:r w:rsidR="00CD1020">
        <w:rPr>
          <w:rFonts w:eastAsiaTheme="minorEastAsia"/>
          <w:szCs w:val="22"/>
        </w:rPr>
        <w:fldChar w:fldCharType="end"/>
      </w:r>
      <w:r>
        <w:rPr>
          <w:rFonts w:eastAsiaTheme="minorEastAsia"/>
          <w:szCs w:val="22"/>
        </w:rPr>
        <w:t xml:space="preserve">. This is particularly true in U.S. health policy, where federal policy decisions based on cost-effectiveness are prohibited through both legislation and administrative rulemaking.  But even absent a specific legislative or </w:t>
      </w:r>
      <w:r>
        <w:rPr>
          <w:rFonts w:eastAsiaTheme="minorEastAsia"/>
          <w:szCs w:val="22"/>
        </w:rPr>
        <w:lastRenderedPageBreak/>
        <w:t xml:space="preserve">regulatory decree, the CBO and other modelers have generally </w:t>
      </w:r>
      <w:r w:rsidR="000F5D38">
        <w:rPr>
          <w:rFonts w:eastAsiaTheme="minorEastAsia"/>
          <w:szCs w:val="22"/>
        </w:rPr>
        <w:t>avoided</w:t>
      </w:r>
      <w:r>
        <w:rPr>
          <w:rFonts w:eastAsiaTheme="minorEastAsia"/>
          <w:szCs w:val="22"/>
        </w:rPr>
        <w:t xml:space="preserve"> producing comparative welfare assessments.</w:t>
      </w:r>
    </w:p>
    <w:p w14:paraId="600F1A36" w14:textId="7EE41DD5" w:rsidR="00B357C0" w:rsidRDefault="002D5F70" w:rsidP="002D5F70">
      <w:pPr>
        <w:spacing w:line="480" w:lineRule="auto"/>
        <w:ind w:firstLine="720"/>
        <w:rPr>
          <w:rFonts w:eastAsiaTheme="minorEastAsia"/>
          <w:szCs w:val="22"/>
        </w:rPr>
      </w:pPr>
      <w:r>
        <w:rPr>
          <w:rFonts w:eastAsiaTheme="minorEastAsia"/>
          <w:szCs w:val="22"/>
        </w:rPr>
        <w:t xml:space="preserve">Compounding these shortcomings are </w:t>
      </w:r>
      <w:r w:rsidR="00D8612D">
        <w:rPr>
          <w:rFonts w:eastAsiaTheme="minorEastAsia"/>
          <w:szCs w:val="22"/>
        </w:rPr>
        <w:t>four</w:t>
      </w:r>
      <w:r>
        <w:rPr>
          <w:rFonts w:eastAsiaTheme="minorEastAsia"/>
          <w:szCs w:val="22"/>
        </w:rPr>
        <w:t xml:space="preserve"> related challenges. First, while simulation models often draw on standard economic theory and a shared evidence base, the underlying evidence is estimated with uncertainty (and possibly with bias) and is not always in uniform agreement. </w:t>
      </w:r>
      <w:r w:rsidR="00043C0A">
        <w:rPr>
          <w:rFonts w:eastAsiaTheme="minorEastAsia"/>
          <w:szCs w:val="22"/>
        </w:rPr>
        <w:t>Second, m</w:t>
      </w:r>
      <w:r>
        <w:rPr>
          <w:rFonts w:eastAsiaTheme="minorEastAsia"/>
          <w:szCs w:val="22"/>
        </w:rPr>
        <w:t>odels</w:t>
      </w:r>
      <w:r w:rsidR="001F6EFC">
        <w:rPr>
          <w:rFonts w:eastAsiaTheme="minorEastAsia"/>
          <w:szCs w:val="22"/>
        </w:rPr>
        <w:t xml:space="preserve"> </w:t>
      </w:r>
      <w:r w:rsidR="00CC6424">
        <w:rPr>
          <w:rFonts w:eastAsiaTheme="minorEastAsia"/>
          <w:szCs w:val="22"/>
        </w:rPr>
        <w:t>also</w:t>
      </w:r>
      <w:r w:rsidR="009411DE">
        <w:rPr>
          <w:rFonts w:eastAsiaTheme="minorEastAsia"/>
          <w:szCs w:val="22"/>
        </w:rPr>
        <w:t xml:space="preserve"> </w:t>
      </w:r>
      <w:r>
        <w:rPr>
          <w:rFonts w:eastAsiaTheme="minorEastAsia"/>
          <w:szCs w:val="22"/>
        </w:rPr>
        <w:t xml:space="preserve">differ in their </w:t>
      </w:r>
      <w:r w:rsidR="00D93D5B">
        <w:rPr>
          <w:rFonts w:eastAsiaTheme="minorEastAsia"/>
          <w:szCs w:val="22"/>
        </w:rPr>
        <w:t xml:space="preserve">underlying </w:t>
      </w:r>
      <w:r w:rsidR="00364B7A">
        <w:rPr>
          <w:rFonts w:eastAsiaTheme="minorEastAsia"/>
          <w:szCs w:val="22"/>
        </w:rPr>
        <w:t xml:space="preserve">structure, </w:t>
      </w:r>
      <w:r w:rsidR="00E61976">
        <w:rPr>
          <w:rFonts w:eastAsiaTheme="minorEastAsia"/>
          <w:szCs w:val="22"/>
        </w:rPr>
        <w:t xml:space="preserve">input </w:t>
      </w:r>
      <w:r>
        <w:rPr>
          <w:rFonts w:eastAsiaTheme="minorEastAsia"/>
          <w:szCs w:val="22"/>
        </w:rPr>
        <w:t xml:space="preserve">data sources and assumptions. </w:t>
      </w:r>
      <w:r w:rsidR="00043C0A">
        <w:rPr>
          <w:rFonts w:eastAsiaTheme="minorEastAsia"/>
          <w:szCs w:val="22"/>
        </w:rPr>
        <w:t>Thi</w:t>
      </w:r>
      <w:r w:rsidR="00A4398C">
        <w:rPr>
          <w:rFonts w:eastAsiaTheme="minorEastAsia"/>
          <w:szCs w:val="22"/>
        </w:rPr>
        <w:t>r</w:t>
      </w:r>
      <w:r w:rsidR="00043C0A">
        <w:rPr>
          <w:rFonts w:eastAsiaTheme="minorEastAsia"/>
          <w:szCs w:val="22"/>
        </w:rPr>
        <w:t>d</w:t>
      </w:r>
      <w:r>
        <w:rPr>
          <w:rFonts w:eastAsiaTheme="minorEastAsia"/>
          <w:szCs w:val="22"/>
        </w:rPr>
        <w:t xml:space="preserve">, </w:t>
      </w:r>
      <w:r w:rsidR="00770C95">
        <w:rPr>
          <w:rFonts w:eastAsiaTheme="minorEastAsia"/>
          <w:szCs w:val="22"/>
        </w:rPr>
        <w:t xml:space="preserve">the microsimulation process is </w:t>
      </w:r>
      <w:r w:rsidR="005B6ED7">
        <w:rPr>
          <w:rFonts w:eastAsiaTheme="minorEastAsia"/>
          <w:szCs w:val="22"/>
        </w:rPr>
        <w:t>often</w:t>
      </w:r>
      <w:r w:rsidR="00770C95">
        <w:rPr>
          <w:rFonts w:eastAsiaTheme="minorEastAsia"/>
          <w:szCs w:val="22"/>
        </w:rPr>
        <w:t xml:space="preserve"> opaque, making </w:t>
      </w:r>
      <w:r w:rsidR="00C22137">
        <w:rPr>
          <w:rFonts w:eastAsiaTheme="minorEastAsia"/>
          <w:szCs w:val="22"/>
        </w:rPr>
        <w:t xml:space="preserve">it </w:t>
      </w:r>
      <w:r w:rsidRPr="000F0B13">
        <w:rPr>
          <w:rFonts w:eastAsiaTheme="minorEastAsia"/>
          <w:szCs w:val="22"/>
        </w:rPr>
        <w:t xml:space="preserve">difficult for researchers to </w:t>
      </w:r>
      <w:r w:rsidR="00B647A6">
        <w:rPr>
          <w:rFonts w:eastAsiaTheme="minorEastAsia"/>
          <w:szCs w:val="22"/>
        </w:rPr>
        <w:t xml:space="preserve">understand </w:t>
      </w:r>
      <w:r w:rsidRPr="000F0B13">
        <w:rPr>
          <w:rFonts w:eastAsiaTheme="minorEastAsia"/>
          <w:szCs w:val="22"/>
        </w:rPr>
        <w:t xml:space="preserve">whether and how their work can inform modeling efforts. </w:t>
      </w:r>
      <w:r w:rsidR="00445919">
        <w:rPr>
          <w:rFonts w:eastAsiaTheme="minorEastAsia"/>
          <w:szCs w:val="22"/>
        </w:rPr>
        <w:t>F</w:t>
      </w:r>
      <w:r w:rsidRPr="000F0B13">
        <w:rPr>
          <w:rFonts w:eastAsiaTheme="minorEastAsia"/>
          <w:szCs w:val="22"/>
        </w:rPr>
        <w:t xml:space="preserve">inally, the </w:t>
      </w:r>
      <w:r w:rsidR="00433BFB">
        <w:rPr>
          <w:rFonts w:eastAsiaTheme="minorEastAsia"/>
          <w:szCs w:val="22"/>
        </w:rPr>
        <w:t xml:space="preserve">costs of </w:t>
      </w:r>
      <w:r w:rsidRPr="000F0B13">
        <w:rPr>
          <w:rFonts w:eastAsiaTheme="minorEastAsia"/>
          <w:szCs w:val="22"/>
        </w:rPr>
        <w:t xml:space="preserve">development, execution, and maintenance of microsimulation models are considerable. </w:t>
      </w:r>
    </w:p>
    <w:p w14:paraId="6BD9B23D" w14:textId="62D3643D" w:rsidR="002D5F70" w:rsidRPr="000F0B13" w:rsidRDefault="002D5F70" w:rsidP="002D5F70">
      <w:pPr>
        <w:spacing w:line="480" w:lineRule="auto"/>
        <w:ind w:firstLine="720"/>
        <w:rPr>
          <w:rFonts w:eastAsiaTheme="minorEastAsia"/>
          <w:szCs w:val="22"/>
        </w:rPr>
      </w:pPr>
      <w:r w:rsidRPr="000F0B13">
        <w:rPr>
          <w:rFonts w:eastAsiaTheme="minorEastAsia"/>
          <w:szCs w:val="22"/>
        </w:rPr>
        <w:t xml:space="preserve">Combined, these factors contribute to high barriers to conducting rigorous ex ante policy evaluation and a muddled sense of how the economic research enterprise could be refined to improve </w:t>
      </w:r>
      <w:r>
        <w:rPr>
          <w:rFonts w:eastAsiaTheme="minorEastAsia"/>
          <w:szCs w:val="22"/>
        </w:rPr>
        <w:t xml:space="preserve">both modeling efforts and </w:t>
      </w:r>
      <w:r w:rsidRPr="000F0B13">
        <w:rPr>
          <w:rFonts w:eastAsiaTheme="minorEastAsia"/>
          <w:szCs w:val="22"/>
        </w:rPr>
        <w:t xml:space="preserve">policy decision making. </w:t>
      </w:r>
      <w:r w:rsidR="00F1535C">
        <w:rPr>
          <w:rFonts w:eastAsiaTheme="minorEastAsia"/>
          <w:szCs w:val="22"/>
        </w:rPr>
        <w:t>In short</w:t>
      </w:r>
      <w:r w:rsidR="008F66B1">
        <w:rPr>
          <w:rFonts w:eastAsiaTheme="minorEastAsia"/>
          <w:szCs w:val="22"/>
        </w:rPr>
        <w:t>, few economists have a concrete sense of how their research can impact CBO modeling, nor is it clear whether th</w:t>
      </w:r>
      <w:r w:rsidR="00E267EF">
        <w:rPr>
          <w:rFonts w:eastAsiaTheme="minorEastAsia"/>
          <w:szCs w:val="22"/>
        </w:rPr>
        <w:t>is</w:t>
      </w:r>
      <w:r w:rsidR="008F66B1">
        <w:rPr>
          <w:rFonts w:eastAsiaTheme="minorEastAsia"/>
          <w:szCs w:val="22"/>
        </w:rPr>
        <w:t xml:space="preserve"> research is focused on questions of highest importance to informing policy decisions. </w:t>
      </w:r>
    </w:p>
    <w:p w14:paraId="50765AA2" w14:textId="77777777" w:rsidR="00DD537C" w:rsidRDefault="002D5F70" w:rsidP="00897159">
      <w:pPr>
        <w:spacing w:line="480" w:lineRule="auto"/>
        <w:ind w:firstLine="720"/>
        <w:rPr>
          <w:rFonts w:eastAsiaTheme="minorEastAsia"/>
          <w:szCs w:val="22"/>
        </w:rPr>
      </w:pPr>
      <w:r w:rsidRPr="004306C5">
        <w:rPr>
          <w:rFonts w:eastAsiaTheme="minorEastAsia"/>
          <w:szCs w:val="22"/>
        </w:rPr>
        <w:t xml:space="preserve">This study outlines an approach to ex ante policy evaluation that addresses </w:t>
      </w:r>
      <w:r>
        <w:rPr>
          <w:rFonts w:eastAsiaTheme="minorEastAsia"/>
          <w:szCs w:val="22"/>
        </w:rPr>
        <w:t xml:space="preserve">many of </w:t>
      </w:r>
      <w:r w:rsidRPr="004306C5">
        <w:rPr>
          <w:rFonts w:eastAsiaTheme="minorEastAsia"/>
          <w:szCs w:val="22"/>
        </w:rPr>
        <w:t xml:space="preserve">the above shortcomings. </w:t>
      </w:r>
      <w:r>
        <w:rPr>
          <w:rFonts w:eastAsiaTheme="minorEastAsia"/>
          <w:szCs w:val="22"/>
        </w:rPr>
        <w:t xml:space="preserve">The first </w:t>
      </w:r>
      <w:r w:rsidR="004F4C0D">
        <w:rPr>
          <w:rFonts w:eastAsiaTheme="minorEastAsia"/>
          <w:szCs w:val="22"/>
        </w:rPr>
        <w:t xml:space="preserve">major </w:t>
      </w:r>
      <w:r>
        <w:rPr>
          <w:rFonts w:eastAsiaTheme="minorEastAsia"/>
          <w:szCs w:val="22"/>
        </w:rPr>
        <w:t>contribution</w:t>
      </w:r>
      <w:r w:rsidR="009833B0">
        <w:rPr>
          <w:rFonts w:eastAsiaTheme="minorEastAsia"/>
          <w:szCs w:val="22"/>
        </w:rPr>
        <w:t xml:space="preserve"> </w:t>
      </w:r>
      <w:r>
        <w:rPr>
          <w:rFonts w:eastAsiaTheme="minorEastAsia"/>
          <w:szCs w:val="22"/>
        </w:rPr>
        <w:t>is the linkage of theories</w:t>
      </w:r>
      <w:r w:rsidR="00F332D0">
        <w:rPr>
          <w:rFonts w:eastAsiaTheme="minorEastAsia"/>
          <w:szCs w:val="22"/>
        </w:rPr>
        <w:t xml:space="preserve"> </w:t>
      </w:r>
      <w:r>
        <w:rPr>
          <w:rFonts w:eastAsiaTheme="minorEastAsia"/>
          <w:szCs w:val="22"/>
        </w:rPr>
        <w:t>related to the Value of Information (VOI) and the Marginal Value of Public Funds (MVPF)</w:t>
      </w:r>
      <w:r w:rsidR="00C32467">
        <w:rPr>
          <w:rFonts w:eastAsiaTheme="minorEastAsia"/>
          <w:szCs w:val="22"/>
        </w:rPr>
        <w:t xml:space="preserve"> in the context of ex ante policy modeling</w:t>
      </w:r>
      <w:r>
        <w:rPr>
          <w:rFonts w:eastAsiaTheme="minorEastAsia"/>
          <w:szCs w:val="22"/>
        </w:rPr>
        <w:t xml:space="preserve">. </w:t>
      </w:r>
      <w:r w:rsidR="00C0284E">
        <w:rPr>
          <w:rFonts w:eastAsiaTheme="minorEastAsia"/>
          <w:szCs w:val="22"/>
        </w:rPr>
        <w:t xml:space="preserve">Specifically, I demonstrate that embedding </w:t>
      </w:r>
      <w:r w:rsidR="00D76F02">
        <w:rPr>
          <w:rFonts w:eastAsiaTheme="minorEastAsia"/>
          <w:szCs w:val="22"/>
        </w:rPr>
        <w:t xml:space="preserve">welfare analyses within </w:t>
      </w:r>
      <w:r w:rsidR="006F199E">
        <w:rPr>
          <w:rFonts w:eastAsiaTheme="minorEastAsia"/>
          <w:szCs w:val="22"/>
        </w:rPr>
        <w:t xml:space="preserve">a policy evaluation model </w:t>
      </w:r>
      <w:r w:rsidR="00C0284E">
        <w:rPr>
          <w:rFonts w:eastAsiaTheme="minorEastAsia"/>
          <w:szCs w:val="22"/>
        </w:rPr>
        <w:t>provides a powerful</w:t>
      </w:r>
      <w:r w:rsidR="0061061F">
        <w:rPr>
          <w:rFonts w:eastAsiaTheme="minorEastAsia"/>
          <w:szCs w:val="22"/>
        </w:rPr>
        <w:t xml:space="preserve"> tool</w:t>
      </w:r>
      <w:r w:rsidR="00C0284E">
        <w:rPr>
          <w:rFonts w:eastAsiaTheme="minorEastAsia"/>
          <w:szCs w:val="22"/>
        </w:rPr>
        <w:t xml:space="preserve"> for </w:t>
      </w:r>
      <w:r w:rsidR="008C3DC0">
        <w:rPr>
          <w:rFonts w:eastAsiaTheme="minorEastAsia"/>
          <w:szCs w:val="22"/>
        </w:rPr>
        <w:t>comparative policy assessment</w:t>
      </w:r>
      <w:r w:rsidR="006025E4">
        <w:rPr>
          <w:rFonts w:eastAsiaTheme="minorEastAsia"/>
          <w:szCs w:val="22"/>
        </w:rPr>
        <w:t xml:space="preserve"> and</w:t>
      </w:r>
      <w:r w:rsidR="008C3DC0">
        <w:rPr>
          <w:rFonts w:eastAsiaTheme="minorEastAsia"/>
          <w:szCs w:val="22"/>
        </w:rPr>
        <w:t xml:space="preserve"> </w:t>
      </w:r>
      <w:r w:rsidR="00C0284E">
        <w:rPr>
          <w:rFonts w:eastAsiaTheme="minorEastAsia"/>
          <w:szCs w:val="22"/>
        </w:rPr>
        <w:t xml:space="preserve">rigorous </w:t>
      </w:r>
      <w:r w:rsidR="000173A5">
        <w:rPr>
          <w:rFonts w:eastAsiaTheme="minorEastAsia"/>
          <w:szCs w:val="22"/>
        </w:rPr>
        <w:t>evaluation</w:t>
      </w:r>
      <w:r w:rsidR="00C0284E">
        <w:rPr>
          <w:rFonts w:eastAsiaTheme="minorEastAsia"/>
          <w:szCs w:val="22"/>
        </w:rPr>
        <w:t xml:space="preserve"> of model sensitivity </w:t>
      </w:r>
      <w:r w:rsidR="006F199E">
        <w:rPr>
          <w:rFonts w:eastAsiaTheme="minorEastAsia"/>
          <w:szCs w:val="22"/>
        </w:rPr>
        <w:t>to uncertain parameters and assumptions</w:t>
      </w:r>
      <w:r w:rsidR="00C0284E">
        <w:rPr>
          <w:rFonts w:eastAsiaTheme="minorEastAsia"/>
          <w:szCs w:val="22"/>
        </w:rPr>
        <w:t>.</w:t>
      </w:r>
      <w:r w:rsidR="005472A4">
        <w:rPr>
          <w:rFonts w:eastAsiaTheme="minorEastAsia"/>
          <w:szCs w:val="22"/>
        </w:rPr>
        <w:t xml:space="preserve"> </w:t>
      </w:r>
      <w:r w:rsidR="00EF79CA">
        <w:rPr>
          <w:rFonts w:eastAsiaTheme="minorEastAsia"/>
          <w:szCs w:val="22"/>
        </w:rPr>
        <w:t xml:space="preserve">These assessments can </w:t>
      </w:r>
      <w:r w:rsidR="00C009EB">
        <w:rPr>
          <w:rFonts w:eastAsiaTheme="minorEastAsia"/>
          <w:szCs w:val="22"/>
        </w:rPr>
        <w:t xml:space="preserve">then </w:t>
      </w:r>
      <w:r w:rsidR="00EF79CA">
        <w:rPr>
          <w:rFonts w:eastAsiaTheme="minorEastAsia"/>
          <w:szCs w:val="22"/>
        </w:rPr>
        <w:t xml:space="preserve">guide both policy decisions and future research. </w:t>
      </w:r>
    </w:p>
    <w:p w14:paraId="5C06313E" w14:textId="3670CF5F" w:rsidR="00687F40" w:rsidRDefault="00730865" w:rsidP="00897159">
      <w:pPr>
        <w:spacing w:line="480" w:lineRule="auto"/>
        <w:ind w:firstLine="720"/>
        <w:rPr>
          <w:rFonts w:eastAsiaTheme="minorEastAsia"/>
          <w:szCs w:val="22"/>
        </w:rPr>
      </w:pPr>
      <w:r>
        <w:rPr>
          <w:rFonts w:eastAsiaTheme="minorEastAsia"/>
          <w:szCs w:val="22"/>
        </w:rPr>
        <w:t>For example, a</w:t>
      </w:r>
      <w:r w:rsidR="002D5F70" w:rsidRPr="004306C5">
        <w:rPr>
          <w:rFonts w:eastAsiaTheme="minorEastAsia"/>
          <w:szCs w:val="22"/>
        </w:rPr>
        <w:t>t a given policy efficiency threshold (e.g., a MVPF value of 0.8, above which a policy might be desirable but below which it may not),</w:t>
      </w:r>
      <w:r w:rsidR="006E691D">
        <w:rPr>
          <w:rFonts w:eastAsiaTheme="minorEastAsia"/>
          <w:szCs w:val="22"/>
        </w:rPr>
        <w:t xml:space="preserve"> </w:t>
      </w:r>
      <w:r w:rsidR="007458BE">
        <w:rPr>
          <w:rFonts w:eastAsiaTheme="minorEastAsia"/>
          <w:szCs w:val="22"/>
        </w:rPr>
        <w:t xml:space="preserve">parameter </w:t>
      </w:r>
      <w:r w:rsidR="002D5F70" w:rsidRPr="004306C5">
        <w:rPr>
          <w:rFonts w:eastAsiaTheme="minorEastAsia"/>
          <w:szCs w:val="22"/>
        </w:rPr>
        <w:t>uncertainty may or may not affect</w:t>
      </w:r>
      <w:r w:rsidR="002F5726">
        <w:rPr>
          <w:rFonts w:eastAsiaTheme="minorEastAsia"/>
          <w:szCs w:val="22"/>
        </w:rPr>
        <w:t xml:space="preserve"> </w:t>
      </w:r>
      <w:r w:rsidR="002D5F70" w:rsidRPr="004306C5">
        <w:rPr>
          <w:rFonts w:eastAsiaTheme="minorEastAsia"/>
          <w:szCs w:val="22"/>
        </w:rPr>
        <w:t xml:space="preserve">policy </w:t>
      </w:r>
      <w:r w:rsidR="00B81376">
        <w:rPr>
          <w:rFonts w:eastAsiaTheme="minorEastAsia"/>
          <w:szCs w:val="22"/>
        </w:rPr>
        <w:t xml:space="preserve">adoption </w:t>
      </w:r>
      <w:r w:rsidR="00BB33D1">
        <w:rPr>
          <w:rFonts w:eastAsiaTheme="minorEastAsia"/>
          <w:szCs w:val="22"/>
        </w:rPr>
        <w:t>decisions</w:t>
      </w:r>
      <w:r w:rsidR="002D5F70" w:rsidRPr="004306C5">
        <w:rPr>
          <w:rFonts w:eastAsiaTheme="minorEastAsia"/>
          <w:szCs w:val="22"/>
        </w:rPr>
        <w:t xml:space="preserve">. If </w:t>
      </w:r>
      <w:r w:rsidR="00BC0454">
        <w:rPr>
          <w:rFonts w:eastAsiaTheme="minorEastAsia"/>
          <w:szCs w:val="22"/>
        </w:rPr>
        <w:t xml:space="preserve">these </w:t>
      </w:r>
      <w:r w:rsidR="002D5F70" w:rsidRPr="004306C5">
        <w:rPr>
          <w:rFonts w:eastAsiaTheme="minorEastAsia"/>
          <w:szCs w:val="22"/>
        </w:rPr>
        <w:t>decisions are insensitive to varying parameter values</w:t>
      </w:r>
      <w:r w:rsidR="002C0D27">
        <w:rPr>
          <w:rFonts w:eastAsiaTheme="minorEastAsia"/>
          <w:szCs w:val="22"/>
        </w:rPr>
        <w:t xml:space="preserve"> </w:t>
      </w:r>
      <w:r w:rsidR="002D5F70" w:rsidRPr="004306C5">
        <w:rPr>
          <w:rFonts w:eastAsiaTheme="minorEastAsia"/>
          <w:szCs w:val="22"/>
        </w:rPr>
        <w:t xml:space="preserve">then the value of </w:t>
      </w:r>
      <w:r w:rsidR="000B3E05">
        <w:rPr>
          <w:rFonts w:eastAsiaTheme="minorEastAsia"/>
          <w:szCs w:val="22"/>
        </w:rPr>
        <w:t>obtaining fu</w:t>
      </w:r>
      <w:r w:rsidR="002A1C3A">
        <w:rPr>
          <w:rFonts w:eastAsiaTheme="minorEastAsia"/>
          <w:szCs w:val="22"/>
        </w:rPr>
        <w:t>r</w:t>
      </w:r>
      <w:r w:rsidR="000B3E05">
        <w:rPr>
          <w:rFonts w:eastAsiaTheme="minorEastAsia"/>
          <w:szCs w:val="22"/>
        </w:rPr>
        <w:t xml:space="preserve">ther </w:t>
      </w:r>
      <w:r w:rsidR="002D5F70" w:rsidRPr="004306C5">
        <w:rPr>
          <w:rFonts w:eastAsiaTheme="minorEastAsia"/>
          <w:szCs w:val="22"/>
        </w:rPr>
        <w:t>information</w:t>
      </w:r>
      <w:r w:rsidR="000B3E05">
        <w:rPr>
          <w:rFonts w:eastAsiaTheme="minorEastAsia"/>
          <w:szCs w:val="22"/>
        </w:rPr>
        <w:t xml:space="preserve"> </w:t>
      </w:r>
      <w:r w:rsidR="00CC72BE">
        <w:rPr>
          <w:rFonts w:eastAsiaTheme="minorEastAsia"/>
          <w:szCs w:val="22"/>
        </w:rPr>
        <w:t>on these parameters</w:t>
      </w:r>
      <w:r w:rsidR="002D5F70" w:rsidRPr="004306C5">
        <w:rPr>
          <w:rFonts w:eastAsiaTheme="minorEastAsia"/>
          <w:szCs w:val="22"/>
        </w:rPr>
        <w:t xml:space="preserve"> </w:t>
      </w:r>
      <w:r w:rsidR="00C77C6D">
        <w:rPr>
          <w:rFonts w:eastAsiaTheme="minorEastAsia"/>
          <w:szCs w:val="22"/>
        </w:rPr>
        <w:t xml:space="preserve">is </w:t>
      </w:r>
      <w:r w:rsidR="002D5F70" w:rsidRPr="004306C5">
        <w:rPr>
          <w:rFonts w:eastAsiaTheme="minorEastAsia"/>
          <w:szCs w:val="22"/>
        </w:rPr>
        <w:t>low</w:t>
      </w:r>
      <w:r w:rsidR="002D5F70">
        <w:rPr>
          <w:rFonts w:eastAsiaTheme="minorEastAsia"/>
          <w:szCs w:val="22"/>
        </w:rPr>
        <w:t>—</w:t>
      </w:r>
      <w:r w:rsidR="00AA0CB0">
        <w:rPr>
          <w:rFonts w:eastAsiaTheme="minorEastAsia"/>
          <w:szCs w:val="22"/>
        </w:rPr>
        <w:t>that is,</w:t>
      </w:r>
      <w:r w:rsidR="002D5F70" w:rsidRPr="004306C5">
        <w:rPr>
          <w:rFonts w:eastAsiaTheme="minorEastAsia"/>
          <w:szCs w:val="22"/>
        </w:rPr>
        <w:t xml:space="preserve"> it is not worth additional </w:t>
      </w:r>
      <w:r w:rsidR="002D5F70">
        <w:rPr>
          <w:rFonts w:eastAsiaTheme="minorEastAsia"/>
          <w:szCs w:val="22"/>
        </w:rPr>
        <w:t xml:space="preserve">research </w:t>
      </w:r>
      <w:r w:rsidR="002D5F70" w:rsidRPr="004306C5">
        <w:rPr>
          <w:rFonts w:eastAsiaTheme="minorEastAsia"/>
          <w:szCs w:val="22"/>
        </w:rPr>
        <w:t xml:space="preserve">effort since the same decision would be made today as it would if we had better information. If decisions are sensitive to this uncertainty, however, then VOI methods quantify the opportunity cost of making policy decisions based on </w:t>
      </w:r>
      <w:r w:rsidR="002D5F70" w:rsidRPr="00AF48FB">
        <w:rPr>
          <w:rFonts w:eastAsiaTheme="minorEastAsia"/>
          <w:i/>
          <w:iCs/>
          <w:szCs w:val="22"/>
        </w:rPr>
        <w:lastRenderedPageBreak/>
        <w:t>current</w:t>
      </w:r>
      <w:r w:rsidR="002D5F70" w:rsidRPr="004306C5">
        <w:rPr>
          <w:rFonts w:eastAsiaTheme="minorEastAsia"/>
          <w:szCs w:val="22"/>
        </w:rPr>
        <w:t xml:space="preserve"> information versus if we had perfect information on uncertain parameters. Variation in modeled outputs can be further decomposed to i</w:t>
      </w:r>
      <w:r w:rsidR="00E216FC">
        <w:rPr>
          <w:rFonts w:eastAsiaTheme="minorEastAsia"/>
          <w:szCs w:val="22"/>
        </w:rPr>
        <w:t>solate</w:t>
      </w:r>
      <w:r w:rsidR="002D5F70" w:rsidRPr="004306C5">
        <w:rPr>
          <w:rFonts w:eastAsiaTheme="minorEastAsia"/>
          <w:szCs w:val="22"/>
        </w:rPr>
        <w:t xml:space="preserve"> </w:t>
      </w:r>
      <w:r w:rsidR="009E1647">
        <w:rPr>
          <w:rFonts w:eastAsiaTheme="minorEastAsia"/>
          <w:szCs w:val="22"/>
        </w:rPr>
        <w:t xml:space="preserve">how </w:t>
      </w:r>
      <w:r w:rsidR="002D5F70" w:rsidRPr="004306C5">
        <w:rPr>
          <w:rFonts w:eastAsiaTheme="minorEastAsia"/>
          <w:szCs w:val="22"/>
        </w:rPr>
        <w:t>specific parameters contribute</w:t>
      </w:r>
      <w:r w:rsidR="00E73FF6">
        <w:rPr>
          <w:rFonts w:eastAsiaTheme="minorEastAsia"/>
          <w:szCs w:val="22"/>
        </w:rPr>
        <w:t xml:space="preserve"> </w:t>
      </w:r>
      <w:r w:rsidR="002D5F70" w:rsidRPr="004306C5">
        <w:rPr>
          <w:rFonts w:eastAsiaTheme="minorEastAsia"/>
          <w:szCs w:val="22"/>
        </w:rPr>
        <w:t xml:space="preserve">to </w:t>
      </w:r>
      <w:r w:rsidR="00F83A24">
        <w:rPr>
          <w:rFonts w:eastAsiaTheme="minorEastAsia"/>
          <w:szCs w:val="22"/>
        </w:rPr>
        <w:t>th</w:t>
      </w:r>
      <w:r w:rsidR="009229A9">
        <w:rPr>
          <w:rFonts w:eastAsiaTheme="minorEastAsia"/>
          <w:szCs w:val="22"/>
        </w:rPr>
        <w:t>e</w:t>
      </w:r>
      <w:r w:rsidR="002D5F70" w:rsidRPr="004306C5">
        <w:rPr>
          <w:rFonts w:eastAsiaTheme="minorEastAsia"/>
          <w:szCs w:val="22"/>
        </w:rPr>
        <w:t xml:space="preserve"> overall value of information. These assessments, in turn, can provide </w:t>
      </w:r>
      <w:r w:rsidR="0020654E">
        <w:rPr>
          <w:rFonts w:eastAsiaTheme="minorEastAsia"/>
          <w:szCs w:val="22"/>
        </w:rPr>
        <w:t>guidance</w:t>
      </w:r>
      <w:r w:rsidR="002D5F70" w:rsidRPr="004306C5">
        <w:rPr>
          <w:rFonts w:eastAsiaTheme="minorEastAsia"/>
          <w:szCs w:val="22"/>
        </w:rPr>
        <w:t xml:space="preserve"> </w:t>
      </w:r>
      <w:r w:rsidR="008250F4">
        <w:rPr>
          <w:rFonts w:eastAsiaTheme="minorEastAsia"/>
          <w:szCs w:val="22"/>
        </w:rPr>
        <w:t xml:space="preserve">so that </w:t>
      </w:r>
      <w:r w:rsidR="002D5F70" w:rsidRPr="004306C5">
        <w:rPr>
          <w:rFonts w:eastAsiaTheme="minorEastAsia"/>
          <w:szCs w:val="22"/>
        </w:rPr>
        <w:t xml:space="preserve">future research </w:t>
      </w:r>
      <w:r w:rsidR="008250F4">
        <w:rPr>
          <w:rFonts w:eastAsiaTheme="minorEastAsia"/>
          <w:szCs w:val="22"/>
        </w:rPr>
        <w:t>can be refined and prioritized to</w:t>
      </w:r>
      <w:r w:rsidR="002D5F70" w:rsidRPr="004306C5">
        <w:rPr>
          <w:rFonts w:eastAsiaTheme="minorEastAsia"/>
          <w:szCs w:val="22"/>
        </w:rPr>
        <w:t xml:space="preserve"> focus on domains where the </w:t>
      </w:r>
      <w:r w:rsidR="00CF7D83">
        <w:rPr>
          <w:rFonts w:eastAsiaTheme="minorEastAsia"/>
          <w:szCs w:val="22"/>
        </w:rPr>
        <w:t xml:space="preserve">information value </w:t>
      </w:r>
      <w:r w:rsidR="002D5F70" w:rsidRPr="004306C5">
        <w:rPr>
          <w:rFonts w:eastAsiaTheme="minorEastAsia"/>
          <w:szCs w:val="22"/>
        </w:rPr>
        <w:t xml:space="preserve">is high. </w:t>
      </w:r>
      <w:r w:rsidR="00F63877">
        <w:rPr>
          <w:rFonts w:eastAsiaTheme="minorEastAsia"/>
          <w:szCs w:val="22"/>
        </w:rPr>
        <w:t xml:space="preserve"> </w:t>
      </w:r>
    </w:p>
    <w:p w14:paraId="54938FBD" w14:textId="19AE41D5" w:rsidR="00954BB8" w:rsidRPr="00037C31" w:rsidRDefault="001B04C7" w:rsidP="00037C31">
      <w:pPr>
        <w:spacing w:line="480" w:lineRule="auto"/>
        <w:ind w:firstLine="720"/>
        <w:rPr>
          <w:rFonts w:eastAsiaTheme="minorEastAsia"/>
          <w:i/>
          <w:iCs/>
          <w:szCs w:val="22"/>
        </w:rPr>
      </w:pPr>
      <w:r>
        <w:rPr>
          <w:rFonts w:eastAsiaTheme="minorEastAsia"/>
          <w:szCs w:val="22"/>
        </w:rPr>
        <w:t>To showcase these methods</w:t>
      </w:r>
      <w:r w:rsidR="00BD055E">
        <w:rPr>
          <w:rFonts w:eastAsiaTheme="minorEastAsia"/>
          <w:szCs w:val="22"/>
        </w:rPr>
        <w:t xml:space="preserve"> I turn to </w:t>
      </w:r>
      <w:r>
        <w:rPr>
          <w:rFonts w:eastAsiaTheme="minorEastAsia"/>
          <w:szCs w:val="22"/>
        </w:rPr>
        <w:t>a</w:t>
      </w:r>
      <w:r w:rsidR="00BF3922">
        <w:rPr>
          <w:rFonts w:eastAsiaTheme="minorEastAsia"/>
          <w:szCs w:val="22"/>
        </w:rPr>
        <w:t xml:space="preserve">n </w:t>
      </w:r>
      <w:r>
        <w:rPr>
          <w:rFonts w:eastAsiaTheme="minorEastAsia"/>
          <w:szCs w:val="22"/>
        </w:rPr>
        <w:t xml:space="preserve">application germane to </w:t>
      </w:r>
      <w:r w:rsidR="00FE0F0F">
        <w:rPr>
          <w:rFonts w:eastAsiaTheme="minorEastAsia"/>
          <w:szCs w:val="22"/>
        </w:rPr>
        <w:t xml:space="preserve">an </w:t>
      </w:r>
      <w:r>
        <w:rPr>
          <w:rFonts w:eastAsiaTheme="minorEastAsia"/>
          <w:szCs w:val="22"/>
        </w:rPr>
        <w:t>ongoing debate</w:t>
      </w:r>
      <w:r w:rsidR="00FE0F0F">
        <w:rPr>
          <w:rFonts w:eastAsiaTheme="minorEastAsia"/>
          <w:szCs w:val="22"/>
        </w:rPr>
        <w:t xml:space="preserve"> </w:t>
      </w:r>
      <w:r>
        <w:rPr>
          <w:rFonts w:eastAsiaTheme="minorEastAsia"/>
          <w:szCs w:val="22"/>
        </w:rPr>
        <w:t xml:space="preserve">in U.S. health policy: whether to further expand health insurance coverage and if so, through what means (e.g., expansions of in-kind public insurance programs like Medicaid or Medicare, or through cash assistance for premiums and cost-sharing for private plans). </w:t>
      </w:r>
      <w:r w:rsidR="00CD45B1">
        <w:rPr>
          <w:rFonts w:eastAsiaTheme="minorEastAsia"/>
          <w:szCs w:val="22"/>
        </w:rPr>
        <w:t xml:space="preserve"> </w:t>
      </w:r>
      <w:r w:rsidR="00431DE1">
        <w:rPr>
          <w:rFonts w:eastAsiaTheme="minorEastAsia"/>
          <w:szCs w:val="22"/>
        </w:rPr>
        <w:t xml:space="preserve">To do this, I develop a generalized ex ante modeling approach based on a </w:t>
      </w:r>
      <w:r w:rsidR="00431DE1" w:rsidRPr="004306C5">
        <w:rPr>
          <w:rFonts w:eastAsiaTheme="minorEastAsia"/>
          <w:szCs w:val="22"/>
        </w:rPr>
        <w:t>discrete time and choice framework</w:t>
      </w:r>
      <w:r w:rsidR="00431DE1">
        <w:rPr>
          <w:rFonts w:eastAsiaTheme="minorEastAsia"/>
          <w:szCs w:val="22"/>
        </w:rPr>
        <w:t xml:space="preserve">.  </w:t>
      </w:r>
      <w:r w:rsidR="00361301">
        <w:rPr>
          <w:rFonts w:eastAsiaTheme="minorEastAsia"/>
          <w:szCs w:val="22"/>
        </w:rPr>
        <w:t>I demonstrate that this</w:t>
      </w:r>
      <w:r w:rsidR="00954BB8">
        <w:rPr>
          <w:rFonts w:eastAsiaTheme="minorEastAsia"/>
          <w:szCs w:val="22"/>
        </w:rPr>
        <w:t xml:space="preserve"> framework encompasses common approaches to health policy microsimulation based on utility maximization and price elasticities</w:t>
      </w:r>
      <w:r w:rsidR="007315A8">
        <w:rPr>
          <w:rFonts w:eastAsiaTheme="minorEastAsia"/>
          <w:szCs w:val="22"/>
        </w:rPr>
        <w:t xml:space="preserve">. Notably, however, </w:t>
      </w:r>
      <w:r w:rsidR="0094578D">
        <w:rPr>
          <w:rFonts w:eastAsiaTheme="minorEastAsia"/>
          <w:szCs w:val="22"/>
        </w:rPr>
        <w:t>this framework</w:t>
      </w:r>
      <w:r w:rsidR="00954BB8">
        <w:rPr>
          <w:rFonts w:eastAsiaTheme="minorEastAsia"/>
          <w:szCs w:val="22"/>
        </w:rPr>
        <w:t xml:space="preserve"> also facilitates direct simulation of </w:t>
      </w:r>
      <w:r w:rsidR="00216375">
        <w:rPr>
          <w:rFonts w:eastAsiaTheme="minorEastAsia"/>
          <w:szCs w:val="22"/>
        </w:rPr>
        <w:t xml:space="preserve">insurance </w:t>
      </w:r>
      <w:r w:rsidR="00954BB8">
        <w:rPr>
          <w:rFonts w:eastAsiaTheme="minorEastAsia"/>
          <w:szCs w:val="22"/>
        </w:rPr>
        <w:t xml:space="preserve">policy reforms based on </w:t>
      </w:r>
      <w:r w:rsidR="004A06E7">
        <w:rPr>
          <w:rFonts w:eastAsiaTheme="minorEastAsia"/>
          <w:szCs w:val="22"/>
        </w:rPr>
        <w:t xml:space="preserve">a small set of </w:t>
      </w:r>
      <w:r w:rsidR="00954BB8">
        <w:rPr>
          <w:rFonts w:eastAsiaTheme="minorEastAsia"/>
          <w:szCs w:val="22"/>
        </w:rPr>
        <w:t>reduced form</w:t>
      </w:r>
      <w:r w:rsidR="005F17C2">
        <w:rPr>
          <w:rFonts w:eastAsiaTheme="minorEastAsia"/>
          <w:szCs w:val="22"/>
        </w:rPr>
        <w:t xml:space="preserve"> parameters</w:t>
      </w:r>
      <w:r w:rsidR="00954BB8">
        <w:rPr>
          <w:rFonts w:eastAsiaTheme="minorEastAsia"/>
          <w:szCs w:val="22"/>
        </w:rPr>
        <w:t xml:space="preserve">. </w:t>
      </w:r>
      <w:r w:rsidR="00037C31">
        <w:rPr>
          <w:rFonts w:eastAsiaTheme="minorEastAsia"/>
          <w:szCs w:val="22"/>
        </w:rPr>
        <w:t xml:space="preserve">As such, </w:t>
      </w:r>
      <w:r w:rsidR="001B4F99">
        <w:rPr>
          <w:rFonts w:eastAsiaTheme="minorEastAsia"/>
          <w:szCs w:val="22"/>
        </w:rPr>
        <w:t>the framework</w:t>
      </w:r>
      <w:r w:rsidR="00037C31">
        <w:rPr>
          <w:rFonts w:eastAsiaTheme="minorEastAsia"/>
          <w:szCs w:val="22"/>
        </w:rPr>
        <w:t xml:space="preserve"> provides a template for overall welfare assessment and VOI estimation for existing microsimulation models, and for researchers who wish to conduct counterfactual policy simulations</w:t>
      </w:r>
      <w:r w:rsidR="006906DA">
        <w:rPr>
          <w:rFonts w:eastAsiaTheme="minorEastAsia"/>
          <w:szCs w:val="22"/>
        </w:rPr>
        <w:t xml:space="preserve"> </w:t>
      </w:r>
      <w:r w:rsidR="007B1F69">
        <w:rPr>
          <w:rFonts w:eastAsiaTheme="minorEastAsia"/>
          <w:szCs w:val="22"/>
        </w:rPr>
        <w:t xml:space="preserve">based on their own research and </w:t>
      </w:r>
      <w:r w:rsidR="006770AE">
        <w:rPr>
          <w:rFonts w:eastAsiaTheme="minorEastAsia"/>
          <w:szCs w:val="22"/>
        </w:rPr>
        <w:t>without the need for</w:t>
      </w:r>
      <w:r w:rsidR="00D0338F">
        <w:rPr>
          <w:rFonts w:eastAsiaTheme="minorEastAsia"/>
          <w:szCs w:val="22"/>
        </w:rPr>
        <w:t xml:space="preserve"> </w:t>
      </w:r>
      <w:r w:rsidR="006770AE">
        <w:rPr>
          <w:rFonts w:eastAsiaTheme="minorEastAsia"/>
          <w:szCs w:val="22"/>
        </w:rPr>
        <w:t xml:space="preserve">a detailed </w:t>
      </w:r>
      <w:r w:rsidR="00876C62">
        <w:rPr>
          <w:rFonts w:eastAsiaTheme="minorEastAsia"/>
          <w:szCs w:val="22"/>
        </w:rPr>
        <w:t>micro</w:t>
      </w:r>
      <w:r w:rsidR="006770AE">
        <w:rPr>
          <w:rFonts w:eastAsiaTheme="minorEastAsia"/>
          <w:szCs w:val="22"/>
        </w:rPr>
        <w:t>simulation model</w:t>
      </w:r>
      <w:r w:rsidR="00037C31">
        <w:rPr>
          <w:rFonts w:eastAsiaTheme="minorEastAsia"/>
          <w:szCs w:val="22"/>
        </w:rPr>
        <w:t>.</w:t>
      </w:r>
    </w:p>
    <w:p w14:paraId="7DEC5316" w14:textId="36683E53" w:rsidR="00433634" w:rsidRDefault="00954BB8" w:rsidP="00492255">
      <w:pPr>
        <w:spacing w:line="480" w:lineRule="auto"/>
        <w:ind w:firstLine="720"/>
        <w:rPr>
          <w:rFonts w:eastAsiaTheme="minorEastAsia"/>
          <w:szCs w:val="22"/>
        </w:rPr>
      </w:pPr>
      <w:r>
        <w:rPr>
          <w:rFonts w:eastAsiaTheme="minorEastAsia"/>
          <w:szCs w:val="22"/>
        </w:rPr>
        <w:t xml:space="preserve">Within this framework I parametrize a model of insurance choice based </w:t>
      </w:r>
      <w:r w:rsidR="00737154">
        <w:rPr>
          <w:rFonts w:eastAsiaTheme="minorEastAsia"/>
          <w:szCs w:val="22"/>
        </w:rPr>
        <w:t xml:space="preserve">on </w:t>
      </w:r>
      <w:r w:rsidR="00737154" w:rsidRPr="004306C5">
        <w:rPr>
          <w:rFonts w:eastAsiaTheme="minorEastAsia"/>
          <w:szCs w:val="22"/>
        </w:rPr>
        <w:t xml:space="preserve">difference-in-differences evidence on the impact of Medicaid </w:t>
      </w:r>
      <w:r w:rsidR="00F24919">
        <w:rPr>
          <w:rFonts w:eastAsiaTheme="minorEastAsia"/>
          <w:szCs w:val="22"/>
        </w:rPr>
        <w:t xml:space="preserve">expansion </w:t>
      </w:r>
      <w:r w:rsidR="00737154" w:rsidRPr="004306C5">
        <w:rPr>
          <w:rFonts w:eastAsiaTheme="minorEastAsia"/>
          <w:szCs w:val="22"/>
        </w:rPr>
        <w:t>on coverage take-up</w:t>
      </w:r>
      <w:r w:rsidR="00737154">
        <w:rPr>
          <w:rFonts w:eastAsiaTheme="minorEastAsia"/>
          <w:szCs w:val="22"/>
        </w:rPr>
        <w:t xml:space="preserve"> (Graves, McWilliams and Hatfield 2019</w:t>
      </w:r>
      <w:r w:rsidR="00433634">
        <w:rPr>
          <w:rFonts w:eastAsiaTheme="minorEastAsia"/>
          <w:szCs w:val="22"/>
        </w:rPr>
        <w:t>)</w:t>
      </w:r>
      <w:r w:rsidR="00737154">
        <w:rPr>
          <w:rFonts w:eastAsiaTheme="minorEastAsia"/>
          <w:szCs w:val="22"/>
        </w:rPr>
        <w:t xml:space="preserve"> and</w:t>
      </w:r>
      <w:r w:rsidR="00737154" w:rsidRPr="004306C5">
        <w:rPr>
          <w:rFonts w:eastAsiaTheme="minorEastAsia"/>
          <w:szCs w:val="22"/>
        </w:rPr>
        <w:t xml:space="preserve"> </w:t>
      </w:r>
      <w:r w:rsidR="00EC012F">
        <w:rPr>
          <w:rFonts w:eastAsiaTheme="minorEastAsia"/>
          <w:szCs w:val="22"/>
        </w:rPr>
        <w:t xml:space="preserve">on </w:t>
      </w:r>
      <w:r w:rsidR="00737154" w:rsidRPr="004306C5">
        <w:rPr>
          <w:rFonts w:eastAsiaTheme="minorEastAsia"/>
          <w:szCs w:val="22"/>
        </w:rPr>
        <w:t xml:space="preserve">take-up of subsidized private health insurance derived from regression-discontinuity </w:t>
      </w:r>
      <w:r w:rsidR="004D1EA9">
        <w:rPr>
          <w:rFonts w:eastAsiaTheme="minorEastAsia"/>
          <w:szCs w:val="22"/>
        </w:rPr>
        <w:t>evidence</w:t>
      </w:r>
      <w:r w:rsidR="00433634">
        <w:rPr>
          <w:rFonts w:eastAsiaTheme="minorEastAsia"/>
          <w:szCs w:val="22"/>
        </w:rPr>
        <w:t xml:space="preserve"> </w:t>
      </w:r>
      <w:r w:rsidR="004451EE">
        <w:rPr>
          <w:rFonts w:eastAsiaTheme="minorEastAsia"/>
          <w:szCs w:val="22"/>
        </w:rPr>
        <w:t>(</w:t>
      </w:r>
      <w:r w:rsidR="00737154" w:rsidRPr="004306C5">
        <w:rPr>
          <w:rFonts w:eastAsiaTheme="minorEastAsia"/>
          <w:szCs w:val="22"/>
        </w:rPr>
        <w:t>Finkelstein, Hendren and Shepard 2019</w:t>
      </w:r>
      <w:r w:rsidR="004451EE">
        <w:rPr>
          <w:rFonts w:eastAsiaTheme="minorEastAsia"/>
          <w:szCs w:val="22"/>
        </w:rPr>
        <w:t>)</w:t>
      </w:r>
      <w:r w:rsidR="00737154">
        <w:rPr>
          <w:rFonts w:eastAsiaTheme="minorEastAsia"/>
          <w:szCs w:val="22"/>
        </w:rPr>
        <w:t>.</w:t>
      </w:r>
      <w:r>
        <w:rPr>
          <w:rFonts w:eastAsiaTheme="minorEastAsia"/>
          <w:szCs w:val="22"/>
        </w:rPr>
        <w:t xml:space="preserve"> I </w:t>
      </w:r>
      <w:r w:rsidR="004D1EA9">
        <w:rPr>
          <w:rFonts w:eastAsiaTheme="minorEastAsia"/>
          <w:szCs w:val="22"/>
        </w:rPr>
        <w:t xml:space="preserve">further </w:t>
      </w:r>
      <w:r>
        <w:rPr>
          <w:rFonts w:eastAsiaTheme="minorEastAsia"/>
          <w:szCs w:val="22"/>
        </w:rPr>
        <w:t xml:space="preserve">embed </w:t>
      </w:r>
      <w:r w:rsidR="004451EE">
        <w:rPr>
          <w:rFonts w:eastAsiaTheme="minorEastAsia"/>
          <w:szCs w:val="22"/>
        </w:rPr>
        <w:t xml:space="preserve">the </w:t>
      </w:r>
      <w:r w:rsidR="004D1EA9">
        <w:rPr>
          <w:rFonts w:eastAsiaTheme="minorEastAsia"/>
          <w:szCs w:val="22"/>
        </w:rPr>
        <w:t xml:space="preserve">assumptions and components needed for </w:t>
      </w:r>
      <w:r w:rsidR="00DF775D">
        <w:rPr>
          <w:rFonts w:eastAsiaTheme="minorEastAsia"/>
          <w:szCs w:val="22"/>
        </w:rPr>
        <w:t xml:space="preserve">summary measures of policy “benefits” and “costs” used to calculate the MVPF. By specifying all model parameters (including those used to calculate the MVPF) in terms of both expected value and their underlying uncertainty, </w:t>
      </w:r>
      <w:r w:rsidR="00492255">
        <w:rPr>
          <w:rFonts w:eastAsiaTheme="minorEastAsia"/>
          <w:szCs w:val="22"/>
        </w:rPr>
        <w:t>I am able to</w:t>
      </w:r>
      <w:r w:rsidR="00DF775D">
        <w:rPr>
          <w:rFonts w:eastAsiaTheme="minorEastAsia"/>
          <w:szCs w:val="22"/>
        </w:rPr>
        <w:t xml:space="preserve"> conduct large-scale probabilistic sensitivity analysis (PSA) </w:t>
      </w:r>
      <w:r w:rsidR="00492255">
        <w:rPr>
          <w:rFonts w:eastAsiaTheme="minorEastAsia"/>
          <w:szCs w:val="22"/>
        </w:rPr>
        <w:t xml:space="preserve">by iteratively re-estimating model outputs after drawing from the joint distribution of parameters. </w:t>
      </w:r>
      <w:r w:rsidR="00433634">
        <w:rPr>
          <w:rFonts w:eastAsiaTheme="minorEastAsia"/>
          <w:szCs w:val="22"/>
        </w:rPr>
        <w:t xml:space="preserve">The parameter values and outcome results of this sensitivity exercise are primary data inputs into a “metamodel”—that is, a statistical regression </w:t>
      </w:r>
      <w:r w:rsidR="00856477">
        <w:rPr>
          <w:rFonts w:eastAsiaTheme="minorEastAsia"/>
          <w:szCs w:val="22"/>
        </w:rPr>
        <w:t xml:space="preserve">model of how outputs vary with model parameters. This metamodel is then </w:t>
      </w:r>
      <w:r w:rsidR="00433634">
        <w:rPr>
          <w:rFonts w:eastAsiaTheme="minorEastAsia"/>
          <w:szCs w:val="22"/>
        </w:rPr>
        <w:t xml:space="preserve">used to produce estimates of the VOI overall and for individual parameters. </w:t>
      </w:r>
    </w:p>
    <w:p w14:paraId="38DE6948" w14:textId="2C14293D" w:rsidR="00433634" w:rsidRDefault="00433634" w:rsidP="00433634">
      <w:pPr>
        <w:spacing w:line="480" w:lineRule="auto"/>
        <w:ind w:firstLine="720"/>
        <w:rPr>
          <w:rFonts w:eastAsiaTheme="minorEastAsia"/>
          <w:szCs w:val="22"/>
        </w:rPr>
      </w:pPr>
      <w:r>
        <w:rPr>
          <w:rFonts w:eastAsiaTheme="minorEastAsia"/>
          <w:szCs w:val="22"/>
        </w:rPr>
        <w:t xml:space="preserve">The results of this exercise produce several valuable insights. First, …. </w:t>
      </w:r>
      <w:r w:rsidR="000D3701">
        <w:rPr>
          <w:rFonts w:eastAsiaTheme="minorEastAsia"/>
          <w:szCs w:val="22"/>
        </w:rPr>
        <w:t>TK</w:t>
      </w:r>
      <w:bookmarkStart w:id="0" w:name="_GoBack"/>
      <w:bookmarkEnd w:id="0"/>
    </w:p>
    <w:p w14:paraId="7FAE515C" w14:textId="5D74265D" w:rsidR="00433634" w:rsidRDefault="00433634" w:rsidP="00433634">
      <w:pPr>
        <w:spacing w:line="480" w:lineRule="auto"/>
        <w:rPr>
          <w:rFonts w:eastAsiaTheme="minorEastAsia"/>
          <w:szCs w:val="22"/>
        </w:rPr>
      </w:pPr>
    </w:p>
    <w:p w14:paraId="4BF0A603" w14:textId="1E749A65" w:rsidR="00433634" w:rsidRPr="00433634" w:rsidRDefault="00433634" w:rsidP="00433634">
      <w:pPr>
        <w:spacing w:line="480" w:lineRule="auto"/>
        <w:rPr>
          <w:rFonts w:eastAsiaTheme="minorEastAsia"/>
          <w:b/>
          <w:bCs/>
          <w:szCs w:val="22"/>
        </w:rPr>
      </w:pPr>
      <w:r>
        <w:rPr>
          <w:rFonts w:eastAsiaTheme="minorEastAsia"/>
          <w:b/>
          <w:bCs/>
          <w:szCs w:val="22"/>
        </w:rPr>
        <w:t xml:space="preserve">Background </w:t>
      </w:r>
    </w:p>
    <w:p w14:paraId="0DA9C4CA" w14:textId="77777777" w:rsidR="00954BB8" w:rsidRDefault="00954BB8" w:rsidP="00737154">
      <w:pPr>
        <w:spacing w:line="480" w:lineRule="auto"/>
        <w:ind w:firstLine="720"/>
        <w:rPr>
          <w:rFonts w:eastAsiaTheme="minorEastAsia"/>
          <w:szCs w:val="22"/>
        </w:rPr>
      </w:pPr>
    </w:p>
    <w:p w14:paraId="26474C14" w14:textId="709A3974" w:rsidR="0037250C" w:rsidRDefault="00431DE1" w:rsidP="0071725D">
      <w:pPr>
        <w:spacing w:line="480" w:lineRule="auto"/>
        <w:ind w:firstLine="720"/>
        <w:rPr>
          <w:rFonts w:eastAsiaTheme="minorEastAsia"/>
          <w:szCs w:val="22"/>
        </w:rPr>
      </w:pPr>
      <w:r>
        <w:rPr>
          <w:rFonts w:eastAsiaTheme="minorEastAsia"/>
          <w:szCs w:val="22"/>
        </w:rPr>
        <w:t>This framework provides a useful launching point for</w:t>
      </w:r>
      <w:r w:rsidR="0037250C">
        <w:rPr>
          <w:rFonts w:eastAsiaTheme="minorEastAsia"/>
          <w:szCs w:val="22"/>
        </w:rPr>
        <w:t xml:space="preserve"> two</w:t>
      </w:r>
      <w:r>
        <w:rPr>
          <w:rFonts w:eastAsiaTheme="minorEastAsia"/>
          <w:szCs w:val="22"/>
        </w:rPr>
        <w:t xml:space="preserve"> reasons. First, </w:t>
      </w:r>
      <w:r w:rsidR="0037250C" w:rsidRPr="004306C5">
        <w:rPr>
          <w:rFonts w:eastAsiaTheme="minorEastAsia"/>
          <w:szCs w:val="22"/>
        </w:rPr>
        <w:t xml:space="preserve">I demonstrate that </w:t>
      </w:r>
      <w:r w:rsidR="0045711A">
        <w:rPr>
          <w:rFonts w:eastAsiaTheme="minorEastAsia"/>
          <w:szCs w:val="22"/>
        </w:rPr>
        <w:t xml:space="preserve">the </w:t>
      </w:r>
      <w:r w:rsidR="0037250C" w:rsidRPr="004306C5">
        <w:rPr>
          <w:rFonts w:eastAsiaTheme="minorEastAsia"/>
          <w:szCs w:val="22"/>
        </w:rPr>
        <w:t xml:space="preserve">framework </w:t>
      </w:r>
      <w:r w:rsidR="00D43B38">
        <w:rPr>
          <w:rFonts w:eastAsiaTheme="minorEastAsia"/>
          <w:szCs w:val="22"/>
        </w:rPr>
        <w:t>encompasses</w:t>
      </w:r>
      <w:r w:rsidR="0037250C" w:rsidRPr="004306C5">
        <w:rPr>
          <w:rFonts w:eastAsiaTheme="minorEastAsia"/>
          <w:szCs w:val="22"/>
        </w:rPr>
        <w:t xml:space="preserve"> existing approaches to health policy microsimulation, including elasticity-based and utility maximization-based models</w:t>
      </w:r>
      <w:r w:rsidR="0037250C">
        <w:rPr>
          <w:rFonts w:eastAsiaTheme="minorEastAsia"/>
          <w:szCs w:val="22"/>
        </w:rPr>
        <w:t xml:space="preserve"> used by the CBO and others</w:t>
      </w:r>
      <w:r w:rsidR="0037250C" w:rsidRPr="004306C5">
        <w:rPr>
          <w:rFonts w:eastAsiaTheme="minorEastAsia"/>
          <w:szCs w:val="22"/>
        </w:rPr>
        <w:t>.</w:t>
      </w:r>
      <w:r w:rsidR="0037250C">
        <w:rPr>
          <w:rStyle w:val="FootnoteReference"/>
          <w:rFonts w:eastAsiaTheme="minorEastAsia"/>
          <w:szCs w:val="22"/>
        </w:rPr>
        <w:footnoteReference w:id="2"/>
      </w:r>
      <w:r w:rsidR="0037250C" w:rsidRPr="004306C5">
        <w:rPr>
          <w:rFonts w:eastAsiaTheme="minorEastAsia"/>
          <w:szCs w:val="22"/>
        </w:rPr>
        <w:t xml:space="preserve"> </w:t>
      </w:r>
      <w:r w:rsidR="0071725D">
        <w:rPr>
          <w:rFonts w:eastAsiaTheme="minorEastAsia"/>
          <w:szCs w:val="22"/>
        </w:rPr>
        <w:t xml:space="preserve">Thus, it provides a specific VOI and MVPF template to which existing models can be mapped. </w:t>
      </w:r>
      <w:r w:rsidR="0037250C" w:rsidRPr="004306C5">
        <w:rPr>
          <w:rFonts w:eastAsiaTheme="minorEastAsia"/>
          <w:szCs w:val="22"/>
        </w:rPr>
        <w:t>Critically, however, the appro</w:t>
      </w:r>
      <w:r w:rsidR="0037250C">
        <w:rPr>
          <w:rFonts w:eastAsiaTheme="minorEastAsia"/>
          <w:szCs w:val="22"/>
        </w:rPr>
        <w:t>a</w:t>
      </w:r>
      <w:r w:rsidR="0037250C" w:rsidRPr="004306C5">
        <w:rPr>
          <w:rFonts w:eastAsiaTheme="minorEastAsia"/>
          <w:szCs w:val="22"/>
        </w:rPr>
        <w:t xml:space="preserve">ch also facilitates </w:t>
      </w:r>
      <w:proofErr w:type="gramStart"/>
      <w:r w:rsidR="0037250C" w:rsidRPr="004306C5">
        <w:rPr>
          <w:rFonts w:eastAsiaTheme="minorEastAsia"/>
          <w:szCs w:val="22"/>
        </w:rPr>
        <w:t>simple</w:t>
      </w:r>
      <w:proofErr w:type="gramEnd"/>
      <w:r w:rsidR="0037250C" w:rsidRPr="004306C5">
        <w:rPr>
          <w:rFonts w:eastAsiaTheme="minorEastAsia"/>
          <w:szCs w:val="22"/>
        </w:rPr>
        <w:t xml:space="preserve"> yet powerful counterfactual policy assessments based on reduced form estimates. </w:t>
      </w:r>
      <w:r w:rsidR="0037250C">
        <w:rPr>
          <w:rFonts w:eastAsiaTheme="minorEastAsia"/>
          <w:szCs w:val="22"/>
        </w:rPr>
        <w:t>In other words</w:t>
      </w:r>
      <w:r w:rsidR="0037250C" w:rsidRPr="004306C5">
        <w:rPr>
          <w:rFonts w:eastAsiaTheme="minorEastAsia"/>
          <w:szCs w:val="22"/>
        </w:rPr>
        <w:t xml:space="preserve">, the framework </w:t>
      </w:r>
      <w:r w:rsidR="0071725D" w:rsidRPr="00CB7D8E">
        <w:rPr>
          <w:rFonts w:eastAsiaTheme="minorEastAsia"/>
          <w:szCs w:val="22"/>
        </w:rPr>
        <w:t>also</w:t>
      </w:r>
      <w:r w:rsidR="0071725D">
        <w:rPr>
          <w:rFonts w:eastAsiaTheme="minorEastAsia"/>
          <w:i/>
          <w:iCs/>
          <w:szCs w:val="22"/>
        </w:rPr>
        <w:t xml:space="preserve"> </w:t>
      </w:r>
      <w:r w:rsidR="0037250C" w:rsidRPr="004306C5">
        <w:rPr>
          <w:rFonts w:eastAsiaTheme="minorEastAsia"/>
          <w:szCs w:val="22"/>
        </w:rPr>
        <w:t xml:space="preserve">provides researchers </w:t>
      </w:r>
      <w:r w:rsidR="0071725D">
        <w:rPr>
          <w:rFonts w:eastAsiaTheme="minorEastAsia"/>
          <w:szCs w:val="22"/>
        </w:rPr>
        <w:t>with a template</w:t>
      </w:r>
      <w:r w:rsidR="00CB7D8E">
        <w:rPr>
          <w:rFonts w:eastAsiaTheme="minorEastAsia"/>
          <w:szCs w:val="22"/>
        </w:rPr>
        <w:t xml:space="preserve"> for conducting rigorous ex ante evaluations </w:t>
      </w:r>
      <w:r w:rsidR="0037250C" w:rsidRPr="004306C5">
        <w:rPr>
          <w:rFonts w:eastAsiaTheme="minorEastAsia"/>
          <w:szCs w:val="22"/>
        </w:rPr>
        <w:t xml:space="preserve">without the need for a detailed </w:t>
      </w:r>
      <w:r w:rsidR="00F452BD">
        <w:rPr>
          <w:rFonts w:eastAsiaTheme="minorEastAsia"/>
          <w:szCs w:val="22"/>
        </w:rPr>
        <w:t xml:space="preserve">(and costly) </w:t>
      </w:r>
      <w:r w:rsidR="0037250C" w:rsidRPr="004306C5">
        <w:rPr>
          <w:rFonts w:eastAsiaTheme="minorEastAsia"/>
          <w:szCs w:val="22"/>
        </w:rPr>
        <w:t xml:space="preserve">individual-level microsimulation model.  </w:t>
      </w:r>
    </w:p>
    <w:p w14:paraId="11DA5A23" w14:textId="1E8C7C26" w:rsidR="00687F40" w:rsidRDefault="00FB5F08" w:rsidP="00EC4273">
      <w:pPr>
        <w:spacing w:line="480" w:lineRule="auto"/>
        <w:ind w:firstLine="720"/>
        <w:rPr>
          <w:rFonts w:eastAsiaTheme="minorEastAsia"/>
          <w:szCs w:val="22"/>
        </w:rPr>
      </w:pPr>
      <w:r>
        <w:rPr>
          <w:rFonts w:eastAsiaTheme="minorEastAsia"/>
          <w:szCs w:val="22"/>
        </w:rPr>
        <w:t xml:space="preserve">Second, this </w:t>
      </w:r>
      <w:r w:rsidR="00E00885">
        <w:rPr>
          <w:rFonts w:eastAsiaTheme="minorEastAsia"/>
          <w:szCs w:val="22"/>
        </w:rPr>
        <w:t xml:space="preserve">generalized </w:t>
      </w:r>
      <w:r>
        <w:rPr>
          <w:rFonts w:eastAsiaTheme="minorEastAsia"/>
          <w:szCs w:val="22"/>
        </w:rPr>
        <w:t xml:space="preserve">framework facilitates </w:t>
      </w:r>
      <w:r w:rsidR="00900E38">
        <w:rPr>
          <w:rFonts w:eastAsiaTheme="minorEastAsia"/>
          <w:szCs w:val="22"/>
        </w:rPr>
        <w:t xml:space="preserve">efficient </w:t>
      </w:r>
      <w:r>
        <w:rPr>
          <w:rFonts w:eastAsiaTheme="minorEastAsia"/>
          <w:szCs w:val="22"/>
        </w:rPr>
        <w:t xml:space="preserve">estimation of </w:t>
      </w:r>
      <w:r w:rsidR="005F1645">
        <w:rPr>
          <w:rFonts w:eastAsiaTheme="minorEastAsia"/>
          <w:szCs w:val="22"/>
        </w:rPr>
        <w:t xml:space="preserve">the </w:t>
      </w:r>
      <w:r>
        <w:rPr>
          <w:rFonts w:eastAsiaTheme="minorEastAsia"/>
          <w:szCs w:val="22"/>
        </w:rPr>
        <w:t>VOI</w:t>
      </w:r>
      <w:r w:rsidR="0096427F">
        <w:rPr>
          <w:rFonts w:eastAsiaTheme="minorEastAsia"/>
          <w:szCs w:val="22"/>
        </w:rPr>
        <w:t xml:space="preserve">. </w:t>
      </w:r>
      <w:r w:rsidR="00D52F67">
        <w:rPr>
          <w:rFonts w:eastAsiaTheme="minorEastAsia"/>
          <w:szCs w:val="22"/>
        </w:rPr>
        <w:t>This is important because i</w:t>
      </w:r>
      <w:r w:rsidR="00782435">
        <w:rPr>
          <w:rFonts w:eastAsiaTheme="minorEastAsia"/>
          <w:szCs w:val="22"/>
        </w:rPr>
        <w:t xml:space="preserve">n practice, estimating the VOI </w:t>
      </w:r>
      <w:r w:rsidR="001B04C7">
        <w:rPr>
          <w:rFonts w:eastAsiaTheme="minorEastAsia"/>
          <w:szCs w:val="22"/>
        </w:rPr>
        <w:t>requires considerable computational time and power</w:t>
      </w:r>
      <w:r w:rsidR="00A84306">
        <w:rPr>
          <w:rFonts w:eastAsiaTheme="minorEastAsia"/>
          <w:szCs w:val="22"/>
        </w:rPr>
        <w:t>.</w:t>
      </w:r>
      <w:r w:rsidR="00805EC5">
        <w:rPr>
          <w:rFonts w:eastAsiaTheme="minorEastAsia"/>
          <w:szCs w:val="22"/>
        </w:rPr>
        <w:t xml:space="preserve"> </w:t>
      </w:r>
      <w:r w:rsidR="00606D07">
        <w:rPr>
          <w:rFonts w:eastAsiaTheme="minorEastAsia"/>
          <w:szCs w:val="22"/>
        </w:rPr>
        <w:t>Model p</w:t>
      </w:r>
      <w:r w:rsidR="001B04C7">
        <w:rPr>
          <w:rFonts w:eastAsiaTheme="minorEastAsia"/>
          <w:szCs w:val="22"/>
        </w:rPr>
        <w:t xml:space="preserve">arameters must be defined in terms of </w:t>
      </w:r>
      <w:r w:rsidR="00A84306">
        <w:rPr>
          <w:rFonts w:eastAsiaTheme="minorEastAsia"/>
          <w:szCs w:val="22"/>
        </w:rPr>
        <w:t xml:space="preserve">both </w:t>
      </w:r>
      <w:r w:rsidR="001B04C7">
        <w:rPr>
          <w:rFonts w:eastAsiaTheme="minorEastAsia"/>
          <w:szCs w:val="22"/>
        </w:rPr>
        <w:t>their expected value and the</w:t>
      </w:r>
      <w:r w:rsidR="00A84306">
        <w:rPr>
          <w:rFonts w:eastAsiaTheme="minorEastAsia"/>
          <w:szCs w:val="22"/>
        </w:rPr>
        <w:t>ir</w:t>
      </w:r>
      <w:r w:rsidR="001B04C7">
        <w:rPr>
          <w:rFonts w:eastAsiaTheme="minorEastAsia"/>
          <w:szCs w:val="22"/>
        </w:rPr>
        <w:t xml:space="preserve"> underlying uncertainty</w:t>
      </w:r>
      <w:r w:rsidR="00122B99">
        <w:rPr>
          <w:rFonts w:eastAsiaTheme="minorEastAsia"/>
          <w:szCs w:val="22"/>
        </w:rPr>
        <w:t xml:space="preserve">. </w:t>
      </w:r>
      <w:r w:rsidR="007E0EBE">
        <w:rPr>
          <w:rFonts w:eastAsiaTheme="minorEastAsia"/>
          <w:szCs w:val="22"/>
        </w:rPr>
        <w:t xml:space="preserve">Modelers must then iteratively re-estimate key outputs by sampling from the joint distribution of parameters. </w:t>
      </w:r>
      <w:r w:rsidR="00944DE0">
        <w:rPr>
          <w:rFonts w:eastAsiaTheme="minorEastAsia"/>
          <w:szCs w:val="22"/>
        </w:rPr>
        <w:t xml:space="preserve">By specifying </w:t>
      </w:r>
      <w:r w:rsidR="00993B80">
        <w:rPr>
          <w:rFonts w:eastAsiaTheme="minorEastAsia"/>
          <w:szCs w:val="22"/>
        </w:rPr>
        <w:t>a</w:t>
      </w:r>
      <w:r w:rsidR="004B269F">
        <w:rPr>
          <w:rFonts w:eastAsiaTheme="minorEastAsia"/>
          <w:szCs w:val="22"/>
        </w:rPr>
        <w:t>n initial</w:t>
      </w:r>
      <w:r w:rsidR="00944DE0">
        <w:rPr>
          <w:rFonts w:eastAsiaTheme="minorEastAsia"/>
          <w:szCs w:val="22"/>
        </w:rPr>
        <w:t xml:space="preserve"> model</w:t>
      </w:r>
      <w:r w:rsidR="000D17E1">
        <w:rPr>
          <w:rFonts w:eastAsiaTheme="minorEastAsia"/>
          <w:szCs w:val="22"/>
        </w:rPr>
        <w:t>ing</w:t>
      </w:r>
      <w:r w:rsidR="00944DE0">
        <w:rPr>
          <w:rFonts w:eastAsiaTheme="minorEastAsia"/>
          <w:szCs w:val="22"/>
        </w:rPr>
        <w:t xml:space="preserve"> framework in terms of </w:t>
      </w:r>
      <w:r w:rsidR="00C9085E">
        <w:rPr>
          <w:rFonts w:eastAsiaTheme="minorEastAsia"/>
          <w:szCs w:val="22"/>
        </w:rPr>
        <w:t xml:space="preserve">reduced form </w:t>
      </w:r>
      <w:r w:rsidR="00944DE0">
        <w:rPr>
          <w:rFonts w:eastAsiaTheme="minorEastAsia"/>
          <w:szCs w:val="22"/>
        </w:rPr>
        <w:t xml:space="preserve">“sufficient statistics,” </w:t>
      </w:r>
      <w:r w:rsidR="009259FD">
        <w:rPr>
          <w:rFonts w:eastAsiaTheme="minorEastAsia"/>
          <w:szCs w:val="22"/>
        </w:rPr>
        <w:t xml:space="preserve">as I do here, </w:t>
      </w:r>
      <w:r w:rsidR="00944DE0">
        <w:rPr>
          <w:rFonts w:eastAsiaTheme="minorEastAsia"/>
          <w:szCs w:val="22"/>
        </w:rPr>
        <w:t>model execution is exceptionally fast</w:t>
      </w:r>
      <w:r w:rsidR="00F0147B">
        <w:rPr>
          <w:rFonts w:eastAsiaTheme="minorEastAsia"/>
          <w:szCs w:val="22"/>
        </w:rPr>
        <w:t xml:space="preserve">. </w:t>
      </w:r>
      <w:r w:rsidR="005C0A46">
        <w:rPr>
          <w:rFonts w:eastAsiaTheme="minorEastAsia"/>
          <w:szCs w:val="22"/>
        </w:rPr>
        <w:t xml:space="preserve">Preliminary </w:t>
      </w:r>
      <w:r w:rsidR="00E430A7">
        <w:rPr>
          <w:rFonts w:eastAsiaTheme="minorEastAsia"/>
          <w:szCs w:val="22"/>
        </w:rPr>
        <w:t xml:space="preserve">VOI analyses can identify influential parameters within </w:t>
      </w:r>
      <w:r w:rsidR="00B33426">
        <w:rPr>
          <w:rFonts w:eastAsiaTheme="minorEastAsia"/>
          <w:szCs w:val="22"/>
        </w:rPr>
        <w:t>the</w:t>
      </w:r>
      <w:r w:rsidR="00E430A7">
        <w:rPr>
          <w:rFonts w:eastAsiaTheme="minorEastAsia"/>
          <w:szCs w:val="22"/>
        </w:rPr>
        <w:t xml:space="preserve"> simple</w:t>
      </w:r>
      <w:r w:rsidR="00B33426">
        <w:rPr>
          <w:rFonts w:eastAsiaTheme="minorEastAsia"/>
          <w:szCs w:val="22"/>
        </w:rPr>
        <w:t>st possible</w:t>
      </w:r>
      <w:r w:rsidR="00E430A7">
        <w:rPr>
          <w:rFonts w:eastAsiaTheme="minorEastAsia"/>
          <w:szCs w:val="22"/>
        </w:rPr>
        <w:t xml:space="preserve"> model, and this </w:t>
      </w:r>
      <w:r w:rsidR="005C0A46">
        <w:rPr>
          <w:rFonts w:eastAsiaTheme="minorEastAsia"/>
          <w:szCs w:val="22"/>
        </w:rPr>
        <w:t>model</w:t>
      </w:r>
      <w:r w:rsidR="00E430A7">
        <w:rPr>
          <w:rFonts w:eastAsiaTheme="minorEastAsia"/>
          <w:szCs w:val="22"/>
        </w:rPr>
        <w:t xml:space="preserve"> can be further parameterized and analyzed to most efficiently peel back layers of the onion</w:t>
      </w:r>
      <w:r w:rsidR="005533F9">
        <w:rPr>
          <w:rFonts w:eastAsiaTheme="minorEastAsia"/>
          <w:szCs w:val="22"/>
        </w:rPr>
        <w:t>.</w:t>
      </w:r>
      <w:r w:rsidR="004B527C">
        <w:rPr>
          <w:rFonts w:eastAsiaTheme="minorEastAsia"/>
          <w:szCs w:val="22"/>
        </w:rPr>
        <w:t xml:space="preserve"> </w:t>
      </w:r>
    </w:p>
    <w:p w14:paraId="37AA0F3F" w14:textId="01208A64" w:rsidR="00D62F23" w:rsidRDefault="00867499" w:rsidP="00B12A63">
      <w:pPr>
        <w:spacing w:line="480" w:lineRule="auto"/>
        <w:ind w:firstLine="720"/>
        <w:rPr>
          <w:rFonts w:eastAsiaTheme="minorEastAsia"/>
          <w:szCs w:val="22"/>
        </w:rPr>
      </w:pPr>
      <w:r>
        <w:rPr>
          <w:rFonts w:eastAsiaTheme="minorEastAsia"/>
          <w:szCs w:val="22"/>
        </w:rPr>
        <w:t>Within this generalized framework</w:t>
      </w:r>
      <w:r w:rsidR="002D5F70" w:rsidRPr="004306C5">
        <w:rPr>
          <w:rFonts w:eastAsiaTheme="minorEastAsia"/>
          <w:szCs w:val="22"/>
        </w:rPr>
        <w:t xml:space="preserve"> I demonstrate how can be harnessed to model the coverage and cost impact of further expansion of coverage via public programs versus via increased subsidies for private coverage. </w:t>
      </w:r>
      <w:r w:rsidR="002D5F70">
        <w:rPr>
          <w:rFonts w:eastAsiaTheme="minorEastAsia"/>
          <w:szCs w:val="22"/>
        </w:rPr>
        <w:t xml:space="preserve"> I then embed </w:t>
      </w:r>
      <w:r w:rsidR="000A6040">
        <w:rPr>
          <w:rFonts w:eastAsiaTheme="minorEastAsia"/>
          <w:szCs w:val="22"/>
        </w:rPr>
        <w:t xml:space="preserve">MVPF </w:t>
      </w:r>
    </w:p>
    <w:p w14:paraId="63D4AE63" w14:textId="7132F78F" w:rsidR="00B12A63" w:rsidRDefault="00B12A63" w:rsidP="00B12A63">
      <w:pPr>
        <w:spacing w:line="480" w:lineRule="auto"/>
        <w:rPr>
          <w:rFonts w:eastAsiaTheme="minorEastAsia"/>
          <w:szCs w:val="22"/>
        </w:rPr>
      </w:pPr>
    </w:p>
    <w:p w14:paraId="4B5022DB" w14:textId="132A4119" w:rsidR="001C794F" w:rsidRDefault="001C794F">
      <w:pPr>
        <w:rPr>
          <w:rFonts w:eastAsiaTheme="minorEastAsia"/>
          <w:szCs w:val="22"/>
        </w:rPr>
      </w:pPr>
      <w:r>
        <w:rPr>
          <w:rFonts w:eastAsiaTheme="minorEastAsia"/>
          <w:szCs w:val="22"/>
        </w:rPr>
        <w:br w:type="page"/>
      </w:r>
    </w:p>
    <w:p w14:paraId="0866783D" w14:textId="7E686C6B" w:rsidR="00B160EF" w:rsidRDefault="001C794F" w:rsidP="0064756E">
      <w:pPr>
        <w:spacing w:line="480" w:lineRule="auto"/>
        <w:rPr>
          <w:rFonts w:eastAsiaTheme="minorEastAsia"/>
          <w:szCs w:val="22"/>
        </w:rPr>
      </w:pPr>
      <w:r>
        <w:rPr>
          <w:rFonts w:eastAsiaTheme="minorEastAsia"/>
          <w:szCs w:val="22"/>
        </w:rPr>
        <w:lastRenderedPageBreak/>
        <w:t>Before outlining a formal defi</w:t>
      </w:r>
      <w:r w:rsidR="001C6158">
        <w:rPr>
          <w:rFonts w:eastAsiaTheme="minorEastAsia"/>
          <w:szCs w:val="22"/>
        </w:rPr>
        <w:t>nit</w:t>
      </w:r>
      <w:r>
        <w:rPr>
          <w:rFonts w:eastAsiaTheme="minorEastAsia"/>
          <w:szCs w:val="22"/>
        </w:rPr>
        <w:t xml:space="preserve">ion, we begin by laying out the basic intuition that ties together ex ante policy evaluation with the theory underlying the MVPF and the VOI. </w:t>
      </w:r>
      <w:r w:rsidR="0064756E">
        <w:rPr>
          <w:rFonts w:eastAsiaTheme="minorEastAsia"/>
          <w:szCs w:val="22"/>
        </w:rPr>
        <w:t xml:space="preserve"> </w:t>
      </w:r>
      <w:r w:rsidR="00B160EF">
        <w:rPr>
          <w:rFonts w:eastAsiaTheme="minorEastAsia"/>
          <w:szCs w:val="22"/>
        </w:rPr>
        <w:t>As outlined by Hendren (TK), estimates of the MVPF are based on a simple ratio of the “benefits” of a policy to their costs:</w:t>
      </w:r>
    </w:p>
    <w:p w14:paraId="07143D49" w14:textId="77777777" w:rsidR="003B6406" w:rsidRDefault="003B6406" w:rsidP="0064756E">
      <w:pPr>
        <w:spacing w:line="480" w:lineRule="auto"/>
        <w:rPr>
          <w:rFonts w:eastAsiaTheme="minorEastAsia"/>
          <w:szCs w:val="22"/>
        </w:rPr>
      </w:pPr>
    </w:p>
    <w:p w14:paraId="76699920" w14:textId="571BD75B" w:rsidR="00B160EF" w:rsidRPr="00311150" w:rsidRDefault="00311150" w:rsidP="00B12A63">
      <w:pPr>
        <w:spacing w:line="480" w:lineRule="auto"/>
        <w:rPr>
          <w:rFonts w:eastAsiaTheme="minorEastAsia"/>
          <w:szCs w:val="22"/>
          <w:vertAlign w:val="subscript"/>
        </w:rPr>
      </w:pPr>
      <m:oMathPara>
        <m:oMath>
          <m:r>
            <w:rPr>
              <w:rFonts w:ascii="Cambria Math" w:eastAsiaTheme="minorEastAsia" w:hAnsi="Cambria Math"/>
              <w:szCs w:val="22"/>
              <w:vertAlign w:val="subscript"/>
            </w:rPr>
            <m:t>MVPF=</m:t>
          </m:r>
          <m:f>
            <m:fPr>
              <m:ctrlPr>
                <w:rPr>
                  <w:rFonts w:ascii="Cambria Math" w:eastAsiaTheme="minorEastAsia" w:hAnsi="Cambria Math"/>
                  <w:szCs w:val="22"/>
                  <w:vertAlign w:val="subscript"/>
                </w:rPr>
              </m:ctrlPr>
            </m:fPr>
            <m:num>
              <m:r>
                <m:rPr>
                  <m:sty m:val="p"/>
                </m:rPr>
                <w:rPr>
                  <w:rFonts w:ascii="Cambria Math" w:eastAsiaTheme="minorEastAsia" w:hAnsi="Cambria Math"/>
                  <w:szCs w:val="22"/>
                  <w:vertAlign w:val="subscript"/>
                </w:rPr>
                <m:t>Benefit</m:t>
              </m:r>
            </m:num>
            <m:den>
              <m:r>
                <m:rPr>
                  <m:sty m:val="p"/>
                </m:rPr>
                <w:rPr>
                  <w:rFonts w:ascii="Cambria Math" w:eastAsiaTheme="minorEastAsia" w:hAnsi="Cambria Math"/>
                  <w:szCs w:val="22"/>
                  <w:vertAlign w:val="subscript"/>
                </w:rPr>
                <m:t>Cost</m:t>
              </m:r>
            </m:den>
          </m:f>
        </m:oMath>
      </m:oMathPara>
    </w:p>
    <w:p w14:paraId="65661BE5" w14:textId="77777777" w:rsidR="002C1123" w:rsidRDefault="002C1123" w:rsidP="00B12A63">
      <w:pPr>
        <w:spacing w:line="480" w:lineRule="auto"/>
        <w:rPr>
          <w:rFonts w:eastAsiaTheme="minorEastAsia"/>
          <w:szCs w:val="22"/>
        </w:rPr>
      </w:pPr>
    </w:p>
    <w:p w14:paraId="1949038D" w14:textId="77777777" w:rsidR="002C1123" w:rsidRDefault="002C1123" w:rsidP="002C1123">
      <w:pPr>
        <w:spacing w:line="480" w:lineRule="auto"/>
        <w:rPr>
          <w:rFonts w:eastAsiaTheme="minorEastAsia"/>
          <w:szCs w:val="22"/>
        </w:rPr>
      </w:pPr>
      <w:r>
        <w:rPr>
          <w:rFonts w:eastAsiaTheme="minorEastAsia"/>
          <w:szCs w:val="22"/>
        </w:rPr>
        <w:t xml:space="preserve">The MVPF measures the marginal value of an additional dollar spent on a policy—it asks the question: how do the welfare benefits accrued by implementing the policy compare to the costs of adopting that policy?  These costs could be mechanical (e.g., the dollar value of a subsidy or cash transfer) and also the result of economic frictions brought about through policy implementation (e.g., behavioral changes that result in changes in labor force participation, tax revenue, etc.). From a normative standpoint, however, the MVPF is agnostic: it simply measures the ratio of benefits to costs and does not make affirmative statements about whether a policy is “worth it.” </w:t>
      </w:r>
    </w:p>
    <w:p w14:paraId="5E24080B" w14:textId="341B0C88" w:rsidR="002C1123" w:rsidRDefault="002C1123" w:rsidP="002C1123">
      <w:pPr>
        <w:spacing w:line="480" w:lineRule="auto"/>
        <w:ind w:firstLine="720"/>
        <w:rPr>
          <w:rFonts w:eastAsiaTheme="minorEastAsia"/>
          <w:szCs w:val="22"/>
        </w:rPr>
      </w:pPr>
      <w:r>
        <w:rPr>
          <w:rFonts w:eastAsiaTheme="minorEastAsia"/>
          <w:szCs w:val="22"/>
        </w:rPr>
        <w:t xml:space="preserve">We can also think about specifying a threshold </w:t>
      </w:r>
      <m:oMath>
        <m:r>
          <w:rPr>
            <w:rFonts w:ascii="Cambria Math" w:eastAsiaTheme="minorEastAsia" w:hAnsi="Cambria Math"/>
            <w:szCs w:val="22"/>
          </w:rPr>
          <m:t>(</m:t>
        </m:r>
        <m:r>
          <m:rPr>
            <m:sty m:val="p"/>
          </m:rPr>
          <w:rPr>
            <w:rFonts w:ascii="Cambria Math" w:eastAsiaTheme="minorEastAsia" w:hAnsi="Cambria Math"/>
            <w:szCs w:val="22"/>
          </w:rPr>
          <m:t>λ = 1/MVPF</m:t>
        </m:r>
        <m:r>
          <w:rPr>
            <w:rFonts w:ascii="Cambria Math" w:eastAsiaTheme="minorEastAsia" w:hAnsi="Cambria Math"/>
            <w:szCs w:val="22"/>
          </w:rPr>
          <m:t>)</m:t>
        </m:r>
      </m:oMath>
      <w:r>
        <w:rPr>
          <w:rFonts w:eastAsiaTheme="minorEastAsia"/>
          <w:szCs w:val="22"/>
        </w:rPr>
        <w:t xml:space="preserve"> that summarizes society’s willingness to adopt a policy. This threshold value could simply be </w:t>
      </w:r>
      <w:r w:rsidR="00F273FE">
        <w:rPr>
          <w:rFonts w:eastAsiaTheme="minorEastAsia"/>
          <w:szCs w:val="22"/>
        </w:rPr>
        <w:t xml:space="preserve">based on </w:t>
      </w:r>
      <w:r>
        <w:rPr>
          <w:rFonts w:eastAsiaTheme="minorEastAsia"/>
          <w:szCs w:val="22"/>
        </w:rPr>
        <w:t xml:space="preserve">a MVPF of 1 or, if society values some redistributive consequence of the policy, could be set at </w:t>
      </w:r>
      <w:r w:rsidR="00F273FE">
        <w:rPr>
          <w:rFonts w:eastAsiaTheme="minorEastAsia"/>
          <w:szCs w:val="22"/>
        </w:rPr>
        <w:t>some other value</w:t>
      </w:r>
      <w:r>
        <w:rPr>
          <w:rFonts w:eastAsiaTheme="minorEastAsia"/>
          <w:szCs w:val="22"/>
        </w:rPr>
        <w:t xml:space="preserve">. For example, </w:t>
      </w:r>
      <w:r w:rsidRPr="00843864">
        <w:rPr>
          <w:rFonts w:eastAsiaTheme="minorEastAsia"/>
          <w:szCs w:val="22"/>
        </w:rPr>
        <w:t>Finkelstein, Hendren and Shepard (2018)</w:t>
      </w:r>
      <w:r>
        <w:rPr>
          <w:rFonts w:eastAsiaTheme="minorEastAsia"/>
          <w:szCs w:val="22"/>
        </w:rPr>
        <w:t xml:space="preserve"> make comparative assessments of health insurance subsidization policies by specifying a social welfare function over CRRA utility and a defined coefficient of risk aversion. This results in a MVPF benchmark of 0.2. But researchers do not necessarily have to take a firm stance on the curvature and structure of the social welfare function to define a decision-making benchmark. A value tied to an existing policy with strong support across a variety of ideological perspectives could also suffice. For instance, Finkelstein, Hendren and Shepard (2018) also consider a benchmark (0.88) based on the MVPF of the Earned Income Tax Credit (EITC)—a popular means-tested cash transfer program.</w:t>
      </w:r>
      <w:r>
        <w:rPr>
          <w:rStyle w:val="FootnoteReference"/>
          <w:rFonts w:eastAsiaTheme="minorEastAsia"/>
          <w:szCs w:val="22"/>
        </w:rPr>
        <w:footnoteReference w:id="3"/>
      </w:r>
      <w:r>
        <w:rPr>
          <w:rFonts w:eastAsiaTheme="minorEastAsia"/>
          <w:szCs w:val="22"/>
        </w:rPr>
        <w:t xml:space="preserve"> </w:t>
      </w:r>
    </w:p>
    <w:p w14:paraId="0CBC9527" w14:textId="77777777" w:rsidR="00734D2E" w:rsidRDefault="00734D2E" w:rsidP="002C1123">
      <w:pPr>
        <w:spacing w:line="480" w:lineRule="auto"/>
        <w:ind w:firstLine="720"/>
        <w:rPr>
          <w:rFonts w:eastAsiaTheme="minorEastAsia"/>
          <w:szCs w:val="22"/>
        </w:rPr>
      </w:pPr>
    </w:p>
    <w:p w14:paraId="056B40F4" w14:textId="67834BE3" w:rsidR="00BA2486" w:rsidRPr="0064756E" w:rsidRDefault="0064756E" w:rsidP="002C1123">
      <w:pPr>
        <w:spacing w:line="480" w:lineRule="auto"/>
        <w:ind w:firstLine="720"/>
        <w:rPr>
          <w:rFonts w:eastAsiaTheme="minorEastAsia"/>
          <w:szCs w:val="22"/>
        </w:rPr>
      </w:pPr>
      <w:r>
        <w:rPr>
          <w:rFonts w:eastAsiaTheme="minorEastAsia"/>
          <w:szCs w:val="22"/>
        </w:rPr>
        <w:t xml:space="preserve">For example, </w:t>
      </w:r>
    </w:p>
    <w:p w14:paraId="7C3F1C29" w14:textId="77777777" w:rsidR="00BA2486" w:rsidRDefault="00BA2486" w:rsidP="00B12A63">
      <w:pPr>
        <w:spacing w:line="480" w:lineRule="auto"/>
        <w:rPr>
          <w:rFonts w:eastAsiaTheme="minorEastAsia"/>
          <w:szCs w:val="22"/>
        </w:rPr>
      </w:pPr>
    </w:p>
    <w:p w14:paraId="227C7921" w14:textId="6949DBF4" w:rsidR="001C794F" w:rsidRDefault="00221B9E" w:rsidP="00B12A63">
      <w:pPr>
        <w:spacing w:line="480" w:lineRule="auto"/>
        <w:rPr>
          <w:rFonts w:eastAsiaTheme="minorEastAsia"/>
          <w:szCs w:val="22"/>
        </w:rPr>
      </w:pPr>
      <w:r>
        <w:rPr>
          <w:noProof/>
        </w:rPr>
        <mc:AlternateContent>
          <mc:Choice Requires="wps">
            <w:drawing>
              <wp:anchor distT="0" distB="0" distL="114300" distR="114300" simplePos="0" relativeHeight="251660288" behindDoc="1" locked="0" layoutInCell="1" allowOverlap="1" wp14:anchorId="5D270109" wp14:editId="72ADE842">
                <wp:simplePos x="0" y="0"/>
                <wp:positionH relativeFrom="column">
                  <wp:posOffset>1009650</wp:posOffset>
                </wp:positionH>
                <wp:positionV relativeFrom="paragraph">
                  <wp:posOffset>60325</wp:posOffset>
                </wp:positionV>
                <wp:extent cx="3775075" cy="179070"/>
                <wp:effectExtent l="0" t="0" r="0" b="0"/>
                <wp:wrapTight wrapText="bothSides">
                  <wp:wrapPolygon edited="0">
                    <wp:start x="0" y="0"/>
                    <wp:lineTo x="0" y="19915"/>
                    <wp:lineTo x="21509" y="19915"/>
                    <wp:lineTo x="2150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75075" cy="179070"/>
                        </a:xfrm>
                        <a:prstGeom prst="rect">
                          <a:avLst/>
                        </a:prstGeom>
                        <a:solidFill>
                          <a:prstClr val="white"/>
                        </a:solidFill>
                        <a:ln>
                          <a:noFill/>
                        </a:ln>
                      </wps:spPr>
                      <wps:txbx>
                        <w:txbxContent>
                          <w:p w14:paraId="4B735013" w14:textId="4F3672F6" w:rsidR="00221B9E" w:rsidRPr="000E0044" w:rsidRDefault="00221B9E" w:rsidP="00221B9E">
                            <w:pPr>
                              <w:pStyle w:val="Caption"/>
                              <w:rPr>
                                <w:sz w:val="22"/>
                                <w:szCs w:val="22"/>
                              </w:rPr>
                            </w:pPr>
                            <w:r>
                              <w:t xml:space="preserve">Figure </w:t>
                            </w:r>
                            <w:r w:rsidR="00ED0206">
                              <w:fldChar w:fldCharType="begin"/>
                            </w:r>
                            <w:r w:rsidR="00ED0206">
                              <w:instrText xml:space="preserve"> SEQ Figure \* ARABIC </w:instrText>
                            </w:r>
                            <w:r w:rsidR="00ED0206">
                              <w:fldChar w:fldCharType="separate"/>
                            </w:r>
                            <w:r>
                              <w:rPr>
                                <w:noProof/>
                              </w:rPr>
                              <w:t>1</w:t>
                            </w:r>
                            <w:r w:rsidR="00ED0206">
                              <w:rPr>
                                <w:noProof/>
                              </w:rPr>
                              <w:fldChar w:fldCharType="end"/>
                            </w:r>
                            <w:r>
                              <w:t>. MVPF Intuition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270109" id="_x0000_t202" coordsize="21600,21600" o:spt="202" path="m,l,21600r21600,l21600,xe">
                <v:stroke joinstyle="miter"/>
                <v:path gradientshapeok="t" o:connecttype="rect"/>
              </v:shapetype>
              <v:shape id="Text Box 1" o:spid="_x0000_s1026" type="#_x0000_t202" style="position:absolute;margin-left:79.5pt;margin-top:4.75pt;width:297.25pt;height:14.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" stroked="f">
                <v:textbox inset="0,0,0,0">
                  <w:txbxContent>
                    <w:p w14:paraId="4B735013" w14:textId="4F3672F6" w:rsidR="00221B9E" w:rsidRPr="000E0044" w:rsidRDefault="00221B9E" w:rsidP="00221B9E">
                      <w:pPr>
                        <w:pStyle w:val="Caption"/>
                        <w:rPr>
                          <w:sz w:val="22"/>
                          <w:szCs w:val="22"/>
                        </w:rPr>
                      </w:pPr>
                      <w:r>
                        <w:t xml:space="preserve">Figure </w:t>
                      </w:r>
                      <w:fldSimple w:instr=" SEQ Figure \* ARABIC ">
                        <w:r>
                          <w:rPr>
                            <w:noProof/>
                          </w:rPr>
                          <w:t>1</w:t>
                        </w:r>
                      </w:fldSimple>
                      <w:r>
                        <w:t>. MVPF Intuition</w:t>
                      </w:r>
                    </w:p>
                  </w:txbxContent>
                </v:textbox>
                <w10:wrap type="tight"/>
              </v:shape>
            </w:pict>
          </mc:Fallback>
        </mc:AlternateContent>
      </w:r>
    </w:p>
    <w:p w14:paraId="37BCB50C" w14:textId="0F8606A4" w:rsidR="00221B9E" w:rsidRDefault="00221B9E" w:rsidP="00B12A63">
      <w:pPr>
        <w:spacing w:line="480" w:lineRule="auto"/>
        <w:rPr>
          <w:rFonts w:eastAsiaTheme="minorEastAsia"/>
          <w:szCs w:val="22"/>
        </w:rPr>
      </w:pPr>
      <w:r w:rsidRPr="00221B9E">
        <w:rPr>
          <w:rFonts w:eastAsiaTheme="minorEastAsia"/>
          <w:noProof/>
          <w:szCs w:val="22"/>
        </w:rPr>
        <w:drawing>
          <wp:anchor distT="0" distB="0" distL="114300" distR="114300" simplePos="0" relativeHeight="251658240" behindDoc="1" locked="0" layoutInCell="1" allowOverlap="1" wp14:anchorId="5AC58D76" wp14:editId="322166B6">
            <wp:simplePos x="0" y="0"/>
            <wp:positionH relativeFrom="column">
              <wp:posOffset>1009767</wp:posOffset>
            </wp:positionH>
            <wp:positionV relativeFrom="paragraph">
              <wp:posOffset>27414</wp:posOffset>
            </wp:positionV>
            <wp:extent cx="3775075" cy="2501900"/>
            <wp:effectExtent l="0" t="0" r="0" b="0"/>
            <wp:wrapTight wrapText="bothSides">
              <wp:wrapPolygon edited="0">
                <wp:start x="0" y="0"/>
                <wp:lineTo x="0" y="21490"/>
                <wp:lineTo x="21509" y="21490"/>
                <wp:lineTo x="21509" y="0"/>
                <wp:lineTo x="0" y="0"/>
              </wp:wrapPolygon>
            </wp:wrapTight>
            <wp:docPr id="3" name="Picture 1" descr="../figures/01_voi.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figures/01_voi.png"/>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775075" cy="25019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3BE833B" w14:textId="77777777" w:rsidR="001C794F" w:rsidRPr="001C794F" w:rsidRDefault="001C794F" w:rsidP="00B12A63">
      <w:pPr>
        <w:spacing w:line="480" w:lineRule="auto"/>
        <w:rPr>
          <w:rFonts w:eastAsiaTheme="minorEastAsia"/>
          <w:szCs w:val="22"/>
        </w:rPr>
      </w:pPr>
    </w:p>
    <w:p w14:paraId="239EE130" w14:textId="12BC4729" w:rsidR="00D47230" w:rsidRDefault="00D47230" w:rsidP="00D47230">
      <w:pPr>
        <w:spacing w:line="480" w:lineRule="auto"/>
      </w:pPr>
    </w:p>
    <w:sectPr w:rsidR="00D47230" w:rsidSect="002C2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E333" w14:textId="77777777" w:rsidR="00ED0206" w:rsidRDefault="00ED0206" w:rsidP="002D5F70">
      <w:r>
        <w:separator/>
      </w:r>
    </w:p>
  </w:endnote>
  <w:endnote w:type="continuationSeparator" w:id="0">
    <w:p w14:paraId="53D002CC" w14:textId="77777777" w:rsidR="00ED0206" w:rsidRDefault="00ED0206" w:rsidP="002D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C985F" w14:textId="77777777" w:rsidR="00ED0206" w:rsidRDefault="00ED0206" w:rsidP="002D5F70">
      <w:r>
        <w:separator/>
      </w:r>
    </w:p>
  </w:footnote>
  <w:footnote w:type="continuationSeparator" w:id="0">
    <w:p w14:paraId="453B6D9B" w14:textId="77777777" w:rsidR="00ED0206" w:rsidRDefault="00ED0206" w:rsidP="002D5F70">
      <w:r>
        <w:continuationSeparator/>
      </w:r>
    </w:p>
  </w:footnote>
  <w:footnote w:id="1">
    <w:p w14:paraId="5FDFA8D1" w14:textId="77777777" w:rsidR="002D5F70" w:rsidRDefault="002D5F70" w:rsidP="002D5F70">
      <w:pPr>
        <w:pStyle w:val="FootnoteText"/>
      </w:pPr>
      <w:r>
        <w:rPr>
          <w:rStyle w:val="FootnoteReference"/>
        </w:rPr>
        <w:footnoteRef/>
      </w:r>
      <w:r>
        <w:t xml:space="preserve"> Most recently, C</w:t>
      </w:r>
      <w:r w:rsidRPr="00B412EC">
        <w:t xml:space="preserve">ongressional attempts to repeal and replace the 2010 Affordable Care Act (ACA) were hampered by public outcry after the Congressional Budget Office (CBO) </w:t>
      </w:r>
      <w:hyperlink r:id="rId1" w:history="1">
        <w:r w:rsidRPr="00B412EC">
          <w:rPr>
            <w:rStyle w:val="Hyperlink"/>
          </w:rPr>
          <w:t>projected</w:t>
        </w:r>
      </w:hyperlink>
      <w:r w:rsidRPr="00B412EC">
        <w:t xml:space="preserve"> that upwards of 23 million people would become uninsured. The </w:t>
      </w:r>
      <w:hyperlink r:id="rId2" w:history="1">
        <w:r w:rsidRPr="00B412EC">
          <w:rPr>
            <w:rStyle w:val="Hyperlink"/>
          </w:rPr>
          <w:t>twists</w:t>
        </w:r>
      </w:hyperlink>
      <w:r w:rsidRPr="00B412EC">
        <w:t xml:space="preserve"> </w:t>
      </w:r>
      <w:hyperlink r:id="rId3" w:history="1">
        <w:r w:rsidRPr="00B412EC">
          <w:rPr>
            <w:rStyle w:val="Hyperlink"/>
          </w:rPr>
          <w:t>and</w:t>
        </w:r>
      </w:hyperlink>
      <w:r w:rsidRPr="00B412EC">
        <w:t xml:space="preserve"> </w:t>
      </w:r>
      <w:hyperlink r:id="rId4" w:history="1">
        <w:r w:rsidRPr="00B412EC">
          <w:rPr>
            <w:rStyle w:val="Hyperlink"/>
          </w:rPr>
          <w:t>turns</w:t>
        </w:r>
      </w:hyperlink>
      <w:r w:rsidRPr="00B412EC">
        <w:t xml:space="preserve"> of earlier debates over the ACA</w:t>
      </w:r>
      <w:r>
        <w:t>—</w:t>
      </w:r>
      <w:r w:rsidRPr="00B412EC">
        <w:t>and</w:t>
      </w:r>
      <w:r>
        <w:t xml:space="preserve">  </w:t>
      </w:r>
      <w:r w:rsidRPr="00B412EC">
        <w:t>before it, the Clinton health plan</w:t>
      </w:r>
      <w:r>
        <w:t>,</w:t>
      </w:r>
      <w:r w:rsidRPr="00B412EC">
        <w:t xml:space="preserve"> also were shaped by modelers' assessments of how reform would affect insurance coverage, premiums, health care spending, and government costs.</w:t>
      </w:r>
    </w:p>
  </w:footnote>
  <w:footnote w:id="2">
    <w:p w14:paraId="183E5736" w14:textId="77777777" w:rsidR="0037250C" w:rsidRDefault="0037250C" w:rsidP="0037250C">
      <w:pPr>
        <w:pStyle w:val="FootnoteText"/>
      </w:pPr>
      <w:r>
        <w:rPr>
          <w:rStyle w:val="FootnoteReference"/>
        </w:rPr>
        <w:footnoteRef/>
      </w:r>
      <w:r>
        <w:t xml:space="preserve"> Historically, U.S. CBO relied on an elasticity-based model to simulate health reform policy, but recently (as of 2018) switched to a utility maximization framework.  </w:t>
      </w:r>
    </w:p>
  </w:footnote>
  <w:footnote w:id="3">
    <w:p w14:paraId="27557A32" w14:textId="77777777" w:rsidR="002C1123" w:rsidRDefault="002C1123" w:rsidP="002C1123">
      <w:pPr>
        <w:pStyle w:val="FootnoteText"/>
      </w:pPr>
      <w:r>
        <w:rPr>
          <w:rStyle w:val="FootnoteReference"/>
        </w:rPr>
        <w:footnoteRef/>
      </w:r>
      <w:r>
        <w:t xml:space="preserve"> </w:t>
      </w:r>
      <w:r>
        <w:rPr>
          <w:rFonts w:eastAsiaTheme="minorEastAsia"/>
          <w:szCs w:val="22"/>
        </w:rPr>
        <w:t>Similarly, the origin of the often-used $50,000 per quality-adjusted life year (QALY) threshold used in health technology assessments has been traced, in part, to the incremental cost effectiveness ratio for hemodialysis for end-stage renal disease—an explicit disease-based criterion used to determine Medicare eligibility for nonelderly adults in the United States (Grosse 2008; Neumann, Cohen and Weinstein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70"/>
    <w:rsid w:val="000173A5"/>
    <w:rsid w:val="0002108D"/>
    <w:rsid w:val="00030CAB"/>
    <w:rsid w:val="00037C31"/>
    <w:rsid w:val="00043C0A"/>
    <w:rsid w:val="00061585"/>
    <w:rsid w:val="000655FD"/>
    <w:rsid w:val="00074880"/>
    <w:rsid w:val="000A43D9"/>
    <w:rsid w:val="000A6040"/>
    <w:rsid w:val="000B3E05"/>
    <w:rsid w:val="000B4313"/>
    <w:rsid w:val="000B680F"/>
    <w:rsid w:val="000C3CBC"/>
    <w:rsid w:val="000D17E1"/>
    <w:rsid w:val="000D3701"/>
    <w:rsid w:val="000D786F"/>
    <w:rsid w:val="000E0182"/>
    <w:rsid w:val="000E4901"/>
    <w:rsid w:val="000F15CA"/>
    <w:rsid w:val="000F5D38"/>
    <w:rsid w:val="00122B99"/>
    <w:rsid w:val="00123252"/>
    <w:rsid w:val="00134A4B"/>
    <w:rsid w:val="00137136"/>
    <w:rsid w:val="00137CD5"/>
    <w:rsid w:val="001628EA"/>
    <w:rsid w:val="00174864"/>
    <w:rsid w:val="001817ED"/>
    <w:rsid w:val="00183EA0"/>
    <w:rsid w:val="001905AE"/>
    <w:rsid w:val="001A2004"/>
    <w:rsid w:val="001A4F19"/>
    <w:rsid w:val="001A6E3D"/>
    <w:rsid w:val="001B04C7"/>
    <w:rsid w:val="001B4F99"/>
    <w:rsid w:val="001C21EC"/>
    <w:rsid w:val="001C6158"/>
    <w:rsid w:val="001C794F"/>
    <w:rsid w:val="001F16B2"/>
    <w:rsid w:val="001F6EFC"/>
    <w:rsid w:val="0020654E"/>
    <w:rsid w:val="00216375"/>
    <w:rsid w:val="00221B9E"/>
    <w:rsid w:val="00227A18"/>
    <w:rsid w:val="00244182"/>
    <w:rsid w:val="002516E7"/>
    <w:rsid w:val="00262FFD"/>
    <w:rsid w:val="00273363"/>
    <w:rsid w:val="002A1C3A"/>
    <w:rsid w:val="002B4ACB"/>
    <w:rsid w:val="002C0D27"/>
    <w:rsid w:val="002C1123"/>
    <w:rsid w:val="002C27F2"/>
    <w:rsid w:val="002D4DFC"/>
    <w:rsid w:val="002D5F70"/>
    <w:rsid w:val="002E2793"/>
    <w:rsid w:val="002F3A77"/>
    <w:rsid w:val="002F5726"/>
    <w:rsid w:val="00306859"/>
    <w:rsid w:val="00311150"/>
    <w:rsid w:val="00317A20"/>
    <w:rsid w:val="00326A10"/>
    <w:rsid w:val="00337D56"/>
    <w:rsid w:val="00361301"/>
    <w:rsid w:val="00364B7A"/>
    <w:rsid w:val="003657A8"/>
    <w:rsid w:val="00367021"/>
    <w:rsid w:val="0037250C"/>
    <w:rsid w:val="00396652"/>
    <w:rsid w:val="003B0552"/>
    <w:rsid w:val="003B6406"/>
    <w:rsid w:val="00431DE1"/>
    <w:rsid w:val="00433634"/>
    <w:rsid w:val="00433BFB"/>
    <w:rsid w:val="004451EE"/>
    <w:rsid w:val="00445919"/>
    <w:rsid w:val="00452DB9"/>
    <w:rsid w:val="0045711A"/>
    <w:rsid w:val="004772AA"/>
    <w:rsid w:val="00492255"/>
    <w:rsid w:val="00497DC0"/>
    <w:rsid w:val="004A06E7"/>
    <w:rsid w:val="004B269F"/>
    <w:rsid w:val="004B527C"/>
    <w:rsid w:val="004C6FE9"/>
    <w:rsid w:val="004D1EA9"/>
    <w:rsid w:val="004F4C0D"/>
    <w:rsid w:val="004F6664"/>
    <w:rsid w:val="00506BD4"/>
    <w:rsid w:val="00517047"/>
    <w:rsid w:val="00525B9D"/>
    <w:rsid w:val="00526260"/>
    <w:rsid w:val="00536C22"/>
    <w:rsid w:val="00542524"/>
    <w:rsid w:val="005472A4"/>
    <w:rsid w:val="005533F9"/>
    <w:rsid w:val="00553879"/>
    <w:rsid w:val="0058548E"/>
    <w:rsid w:val="005B4308"/>
    <w:rsid w:val="005B627B"/>
    <w:rsid w:val="005B6ED7"/>
    <w:rsid w:val="005B73DF"/>
    <w:rsid w:val="005B7419"/>
    <w:rsid w:val="005C0A46"/>
    <w:rsid w:val="005C33EF"/>
    <w:rsid w:val="005C4A8B"/>
    <w:rsid w:val="005F1645"/>
    <w:rsid w:val="005F17C2"/>
    <w:rsid w:val="00600F97"/>
    <w:rsid w:val="006025E4"/>
    <w:rsid w:val="006033D1"/>
    <w:rsid w:val="00603794"/>
    <w:rsid w:val="00606D07"/>
    <w:rsid w:val="0061061F"/>
    <w:rsid w:val="0064756E"/>
    <w:rsid w:val="00651A9B"/>
    <w:rsid w:val="0065395F"/>
    <w:rsid w:val="00653A78"/>
    <w:rsid w:val="00663B89"/>
    <w:rsid w:val="00666CA8"/>
    <w:rsid w:val="006770AE"/>
    <w:rsid w:val="0068028D"/>
    <w:rsid w:val="00681742"/>
    <w:rsid w:val="00687F40"/>
    <w:rsid w:val="006906DA"/>
    <w:rsid w:val="0069745E"/>
    <w:rsid w:val="006A0CB5"/>
    <w:rsid w:val="006A2BAA"/>
    <w:rsid w:val="006C7EE9"/>
    <w:rsid w:val="006D0F4F"/>
    <w:rsid w:val="006D393A"/>
    <w:rsid w:val="006D3DB2"/>
    <w:rsid w:val="006D6C05"/>
    <w:rsid w:val="006E06CA"/>
    <w:rsid w:val="006E691D"/>
    <w:rsid w:val="006F199E"/>
    <w:rsid w:val="006F69B6"/>
    <w:rsid w:val="00703827"/>
    <w:rsid w:val="00711226"/>
    <w:rsid w:val="00712B15"/>
    <w:rsid w:val="0071725D"/>
    <w:rsid w:val="00730865"/>
    <w:rsid w:val="007315A8"/>
    <w:rsid w:val="00734411"/>
    <w:rsid w:val="00734D2E"/>
    <w:rsid w:val="00737154"/>
    <w:rsid w:val="007458BE"/>
    <w:rsid w:val="007520CB"/>
    <w:rsid w:val="00762A3B"/>
    <w:rsid w:val="00770C95"/>
    <w:rsid w:val="00782435"/>
    <w:rsid w:val="00784390"/>
    <w:rsid w:val="00790E98"/>
    <w:rsid w:val="007B1F69"/>
    <w:rsid w:val="007B6FE6"/>
    <w:rsid w:val="007E0EBE"/>
    <w:rsid w:val="007F1381"/>
    <w:rsid w:val="0080386C"/>
    <w:rsid w:val="00805EC5"/>
    <w:rsid w:val="00806D5C"/>
    <w:rsid w:val="008149FF"/>
    <w:rsid w:val="008207A1"/>
    <w:rsid w:val="008250F4"/>
    <w:rsid w:val="008319D7"/>
    <w:rsid w:val="00856477"/>
    <w:rsid w:val="0086058C"/>
    <w:rsid w:val="00867499"/>
    <w:rsid w:val="00876C62"/>
    <w:rsid w:val="008778E2"/>
    <w:rsid w:val="008876C7"/>
    <w:rsid w:val="008950E2"/>
    <w:rsid w:val="00897159"/>
    <w:rsid w:val="008B3F95"/>
    <w:rsid w:val="008C3DC0"/>
    <w:rsid w:val="008D3118"/>
    <w:rsid w:val="008D4C02"/>
    <w:rsid w:val="008E10CB"/>
    <w:rsid w:val="008E10F3"/>
    <w:rsid w:val="008E5D8E"/>
    <w:rsid w:val="008F6573"/>
    <w:rsid w:val="008F66B1"/>
    <w:rsid w:val="00900E38"/>
    <w:rsid w:val="00907D0A"/>
    <w:rsid w:val="009113D2"/>
    <w:rsid w:val="00914488"/>
    <w:rsid w:val="009229A9"/>
    <w:rsid w:val="009259FD"/>
    <w:rsid w:val="00933AF9"/>
    <w:rsid w:val="009411DE"/>
    <w:rsid w:val="00944DE0"/>
    <w:rsid w:val="0094578D"/>
    <w:rsid w:val="00954BB8"/>
    <w:rsid w:val="0096427F"/>
    <w:rsid w:val="009833B0"/>
    <w:rsid w:val="00993B80"/>
    <w:rsid w:val="009B4F4C"/>
    <w:rsid w:val="009B6BD0"/>
    <w:rsid w:val="009C7428"/>
    <w:rsid w:val="009E1647"/>
    <w:rsid w:val="009E658F"/>
    <w:rsid w:val="009F319A"/>
    <w:rsid w:val="009F5AFA"/>
    <w:rsid w:val="00A04FF0"/>
    <w:rsid w:val="00A06A71"/>
    <w:rsid w:val="00A07258"/>
    <w:rsid w:val="00A1452D"/>
    <w:rsid w:val="00A318BB"/>
    <w:rsid w:val="00A42CBE"/>
    <w:rsid w:val="00A4398C"/>
    <w:rsid w:val="00A72BD2"/>
    <w:rsid w:val="00A84306"/>
    <w:rsid w:val="00A96B0C"/>
    <w:rsid w:val="00AA0CB0"/>
    <w:rsid w:val="00AB199D"/>
    <w:rsid w:val="00AB20C1"/>
    <w:rsid w:val="00AC2A87"/>
    <w:rsid w:val="00AC38AC"/>
    <w:rsid w:val="00AD0980"/>
    <w:rsid w:val="00AD4C37"/>
    <w:rsid w:val="00B013AE"/>
    <w:rsid w:val="00B12A63"/>
    <w:rsid w:val="00B160EF"/>
    <w:rsid w:val="00B2254D"/>
    <w:rsid w:val="00B31CCE"/>
    <w:rsid w:val="00B33426"/>
    <w:rsid w:val="00B357C0"/>
    <w:rsid w:val="00B4732A"/>
    <w:rsid w:val="00B6100A"/>
    <w:rsid w:val="00B647A6"/>
    <w:rsid w:val="00B713AA"/>
    <w:rsid w:val="00B80828"/>
    <w:rsid w:val="00B81376"/>
    <w:rsid w:val="00B86106"/>
    <w:rsid w:val="00B940F2"/>
    <w:rsid w:val="00B967D4"/>
    <w:rsid w:val="00BA2486"/>
    <w:rsid w:val="00BA6E2C"/>
    <w:rsid w:val="00BB33D1"/>
    <w:rsid w:val="00BC0454"/>
    <w:rsid w:val="00BD04D6"/>
    <w:rsid w:val="00BD055E"/>
    <w:rsid w:val="00BF3922"/>
    <w:rsid w:val="00BF3DD8"/>
    <w:rsid w:val="00C009EB"/>
    <w:rsid w:val="00C0284E"/>
    <w:rsid w:val="00C22137"/>
    <w:rsid w:val="00C32467"/>
    <w:rsid w:val="00C365AC"/>
    <w:rsid w:val="00C44772"/>
    <w:rsid w:val="00C45EEC"/>
    <w:rsid w:val="00C640B9"/>
    <w:rsid w:val="00C74731"/>
    <w:rsid w:val="00C755FD"/>
    <w:rsid w:val="00C757E3"/>
    <w:rsid w:val="00C77C6D"/>
    <w:rsid w:val="00C8695D"/>
    <w:rsid w:val="00C9085E"/>
    <w:rsid w:val="00CB0E71"/>
    <w:rsid w:val="00CB3F0F"/>
    <w:rsid w:val="00CB7D8E"/>
    <w:rsid w:val="00CC09AF"/>
    <w:rsid w:val="00CC6424"/>
    <w:rsid w:val="00CC72BE"/>
    <w:rsid w:val="00CD1020"/>
    <w:rsid w:val="00CD45B1"/>
    <w:rsid w:val="00CE0873"/>
    <w:rsid w:val="00CE7BA2"/>
    <w:rsid w:val="00CF03FE"/>
    <w:rsid w:val="00CF7D83"/>
    <w:rsid w:val="00D0338F"/>
    <w:rsid w:val="00D04A3A"/>
    <w:rsid w:val="00D25B8F"/>
    <w:rsid w:val="00D27487"/>
    <w:rsid w:val="00D33B90"/>
    <w:rsid w:val="00D43B38"/>
    <w:rsid w:val="00D47230"/>
    <w:rsid w:val="00D52D5C"/>
    <w:rsid w:val="00D52F67"/>
    <w:rsid w:val="00D60209"/>
    <w:rsid w:val="00D62914"/>
    <w:rsid w:val="00D62F23"/>
    <w:rsid w:val="00D65EC4"/>
    <w:rsid w:val="00D71599"/>
    <w:rsid w:val="00D733F2"/>
    <w:rsid w:val="00D74D72"/>
    <w:rsid w:val="00D76F02"/>
    <w:rsid w:val="00D81AD9"/>
    <w:rsid w:val="00D84B5D"/>
    <w:rsid w:val="00D8612D"/>
    <w:rsid w:val="00D9300B"/>
    <w:rsid w:val="00D93D5B"/>
    <w:rsid w:val="00DB21A7"/>
    <w:rsid w:val="00DD2B25"/>
    <w:rsid w:val="00DD5314"/>
    <w:rsid w:val="00DD537C"/>
    <w:rsid w:val="00DE302A"/>
    <w:rsid w:val="00DE7CA5"/>
    <w:rsid w:val="00DF2111"/>
    <w:rsid w:val="00DF775D"/>
    <w:rsid w:val="00E00885"/>
    <w:rsid w:val="00E03B3B"/>
    <w:rsid w:val="00E10D4D"/>
    <w:rsid w:val="00E20D8D"/>
    <w:rsid w:val="00E216FC"/>
    <w:rsid w:val="00E267EF"/>
    <w:rsid w:val="00E2710D"/>
    <w:rsid w:val="00E3543D"/>
    <w:rsid w:val="00E430A7"/>
    <w:rsid w:val="00E61976"/>
    <w:rsid w:val="00E73FF6"/>
    <w:rsid w:val="00E83488"/>
    <w:rsid w:val="00EC012F"/>
    <w:rsid w:val="00EC4273"/>
    <w:rsid w:val="00EC7B58"/>
    <w:rsid w:val="00ED0206"/>
    <w:rsid w:val="00ED0D75"/>
    <w:rsid w:val="00ED52D2"/>
    <w:rsid w:val="00ED5C48"/>
    <w:rsid w:val="00EF79CA"/>
    <w:rsid w:val="00F0147B"/>
    <w:rsid w:val="00F01BA1"/>
    <w:rsid w:val="00F1535C"/>
    <w:rsid w:val="00F17366"/>
    <w:rsid w:val="00F24919"/>
    <w:rsid w:val="00F26840"/>
    <w:rsid w:val="00F273FE"/>
    <w:rsid w:val="00F332D0"/>
    <w:rsid w:val="00F4252F"/>
    <w:rsid w:val="00F452BD"/>
    <w:rsid w:val="00F459F1"/>
    <w:rsid w:val="00F45A35"/>
    <w:rsid w:val="00F63877"/>
    <w:rsid w:val="00F83A24"/>
    <w:rsid w:val="00F86553"/>
    <w:rsid w:val="00F8659A"/>
    <w:rsid w:val="00F964D6"/>
    <w:rsid w:val="00FA4D79"/>
    <w:rsid w:val="00FB5F08"/>
    <w:rsid w:val="00FC4D2A"/>
    <w:rsid w:val="00FD313B"/>
    <w:rsid w:val="00FE0F0F"/>
    <w:rsid w:val="00FF6B7F"/>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D6D2"/>
  <w15:chartTrackingRefBased/>
  <w15:docId w15:val="{93FFCECD-2BF2-3344-BA3B-8E863DD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70"/>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5F70"/>
    <w:rPr>
      <w:sz w:val="16"/>
      <w:szCs w:val="16"/>
    </w:rPr>
  </w:style>
  <w:style w:type="paragraph" w:styleId="CommentText">
    <w:name w:val="annotation text"/>
    <w:basedOn w:val="Normal"/>
    <w:link w:val="CommentTextChar"/>
    <w:uiPriority w:val="99"/>
    <w:semiHidden/>
    <w:unhideWhenUsed/>
    <w:rsid w:val="002D5F70"/>
    <w:rPr>
      <w:sz w:val="20"/>
      <w:szCs w:val="20"/>
    </w:rPr>
  </w:style>
  <w:style w:type="character" w:customStyle="1" w:styleId="CommentTextChar">
    <w:name w:val="Comment Text Char"/>
    <w:basedOn w:val="DefaultParagraphFont"/>
    <w:link w:val="CommentText"/>
    <w:uiPriority w:val="99"/>
    <w:semiHidden/>
    <w:rsid w:val="002D5F70"/>
    <w:rPr>
      <w:rFonts w:ascii="Garamond" w:hAnsi="Garamond"/>
      <w:sz w:val="20"/>
      <w:szCs w:val="20"/>
    </w:rPr>
  </w:style>
  <w:style w:type="paragraph" w:styleId="FootnoteText">
    <w:name w:val="footnote text"/>
    <w:basedOn w:val="Normal"/>
    <w:link w:val="FootnoteTextChar"/>
    <w:uiPriority w:val="99"/>
    <w:semiHidden/>
    <w:unhideWhenUsed/>
    <w:rsid w:val="002D5F70"/>
    <w:rPr>
      <w:sz w:val="20"/>
      <w:szCs w:val="20"/>
    </w:rPr>
  </w:style>
  <w:style w:type="character" w:customStyle="1" w:styleId="FootnoteTextChar">
    <w:name w:val="Footnote Text Char"/>
    <w:basedOn w:val="DefaultParagraphFont"/>
    <w:link w:val="FootnoteText"/>
    <w:uiPriority w:val="99"/>
    <w:semiHidden/>
    <w:rsid w:val="002D5F70"/>
    <w:rPr>
      <w:rFonts w:ascii="Garamond" w:hAnsi="Garamond"/>
      <w:sz w:val="20"/>
      <w:szCs w:val="20"/>
    </w:rPr>
  </w:style>
  <w:style w:type="character" w:styleId="FootnoteReference">
    <w:name w:val="footnote reference"/>
    <w:basedOn w:val="DefaultParagraphFont"/>
    <w:uiPriority w:val="99"/>
    <w:semiHidden/>
    <w:unhideWhenUsed/>
    <w:rsid w:val="002D5F70"/>
    <w:rPr>
      <w:vertAlign w:val="superscript"/>
    </w:rPr>
  </w:style>
  <w:style w:type="character" w:styleId="Hyperlink">
    <w:name w:val="Hyperlink"/>
    <w:basedOn w:val="DefaultParagraphFont"/>
    <w:uiPriority w:val="99"/>
    <w:unhideWhenUsed/>
    <w:rsid w:val="002D5F70"/>
    <w:rPr>
      <w:color w:val="0563C1" w:themeColor="hyperlink"/>
      <w:u w:val="single"/>
    </w:rPr>
  </w:style>
  <w:style w:type="paragraph" w:styleId="BalloonText">
    <w:name w:val="Balloon Text"/>
    <w:basedOn w:val="Normal"/>
    <w:link w:val="BalloonTextChar"/>
    <w:uiPriority w:val="99"/>
    <w:semiHidden/>
    <w:unhideWhenUsed/>
    <w:rsid w:val="002D5F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F7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A6E3D"/>
    <w:rPr>
      <w:color w:val="954F72" w:themeColor="followedHyperlink"/>
      <w:u w:val="single"/>
    </w:rPr>
  </w:style>
  <w:style w:type="paragraph" w:styleId="Caption">
    <w:name w:val="caption"/>
    <w:basedOn w:val="Normal"/>
    <w:next w:val="Normal"/>
    <w:uiPriority w:val="35"/>
    <w:unhideWhenUsed/>
    <w:qFormat/>
    <w:rsid w:val="00221B9E"/>
    <w:pPr>
      <w:spacing w:after="200"/>
    </w:pPr>
    <w:rPr>
      <w:i/>
      <w:iCs/>
      <w:color w:val="44546A" w:themeColor="text2"/>
      <w:sz w:val="18"/>
      <w:szCs w:val="18"/>
    </w:rPr>
  </w:style>
  <w:style w:type="character" w:styleId="PlaceholderText">
    <w:name w:val="Placeholder Text"/>
    <w:basedOn w:val="DefaultParagraphFont"/>
    <w:uiPriority w:val="99"/>
    <w:semiHidden/>
    <w:rsid w:val="00311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09/10/19/us/19iht-letter.html" TargetMode="External"/><Relationship Id="rId2" Type="http://schemas.openxmlformats.org/officeDocument/2006/relationships/hyperlink" Target="https://prescriptions.blogs.nytimes.com/2009/10/07/analysis-sees-baucus-bill-meeting-obamas-cost-and-deficit-targets/" TargetMode="External"/><Relationship Id="rId1" Type="http://schemas.openxmlformats.org/officeDocument/2006/relationships/hyperlink" Target="https://www.nytimes.com/2017/05/24/us/politics/cbo-congressional-budget-office-health-care.html" TargetMode="External"/><Relationship Id="rId4" Type="http://schemas.openxmlformats.org/officeDocument/2006/relationships/hyperlink" Target="https://www.nytimes.com/2009/10/06/health/policy/06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8</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416</cp:revision>
  <cp:lastPrinted>2019-08-08T16:39:00Z</cp:lastPrinted>
  <dcterms:created xsi:type="dcterms:W3CDTF">2019-08-08T16:38:00Z</dcterms:created>
  <dcterms:modified xsi:type="dcterms:W3CDTF">2019-08-27T12:22:00Z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id="KtDEovdV"/&gt;&lt;style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