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bookmarkStart w:id="27" w:name="fig:001"/>
      <w:r>
        <w:drawing>
          <wp:inline>
            <wp:extent cx="5334000" cy="4000499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 1: Название рисунка</w:t>
      </w:r>
    </w:p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Start w:id="30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30"/>
    <w:bookmarkStart w:id="31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1"/>
    <w:bookmarkStart w:id="32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2"/>
    <w:bookmarkStart w:id="34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3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4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3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2024-10-09T17:59:36Z</dcterms:created>
  <dcterms:modified xsi:type="dcterms:W3CDTF">2024-10-09T17:59:36Z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IBM Plex Serif</vt:lpwstr>
  </property>
  <property fmtid="{D5CDD505-2E9C-101B-9397-08002B2CF9AE}" pid="52" name="mainfontoptions">
    <vt:lpwstr>Ligatures=Common,Ligatures=TeX,Scale=0.94</vt:lpwstr>
  </property>
  <property fmtid="{D5CDD505-2E9C-101B-9397-08002B2CF9AE}" pid="53" name="mathfont">
    <vt:lpwstr>STIX Two Math</vt:lpwstr>
  </property>
  <property fmtid="{D5CDD505-2E9C-101B-9397-08002B2CF9AE}" pid="54" name="mathfontoptions">
    <vt:lpwstr/>
  </property>
  <property fmtid="{D5CDD505-2E9C-101B-9397-08002B2CF9AE}" pid="55" name="monofont">
    <vt:lpwstr>IBM Plex Mono</vt:lpwstr>
  </property>
  <property fmtid="{D5CDD505-2E9C-101B-9397-08002B2CF9AE}" pid="56" name="monofontoptions">
    <vt:lpwstr>Scale=MatchLowercase,Scale=0.94,FakeStretch=0.9</vt:lpwstr>
  </property>
  <property fmtid="{D5CDD505-2E9C-101B-9397-08002B2CF9AE}" pid="57" name="nameInLink">
    <vt:lpwstr>False</vt:lpwstr>
  </property>
  <property fmtid="{D5CDD505-2E9C-101B-9397-08002B2CF9AE}" pid="58" name="numberSections">
    <vt:lpwstr>False</vt:lpwstr>
  </property>
  <property fmtid="{D5CDD505-2E9C-101B-9397-08002B2CF9AE}" pid="59" name="pairDelim">
    <vt:lpwstr>, </vt:lpwstr>
  </property>
  <property fmtid="{D5CDD505-2E9C-101B-9397-08002B2CF9AE}" pid="60" name="papersize">
    <vt:lpwstr>a4</vt:lpwstr>
  </property>
  <property fmtid="{D5CDD505-2E9C-101B-9397-08002B2CF9AE}" pid="61" name="polyglossia-lang">
    <vt:lpwstr/>
  </property>
  <property fmtid="{D5CDD505-2E9C-101B-9397-08002B2CF9AE}" pid="62" name="polyglossia-otherlangs">
    <vt:lpwstr/>
  </property>
  <property fmtid="{D5CDD505-2E9C-101B-9397-08002B2CF9AE}" pid="63" name="rangeDelim">
    <vt:lpwstr>-</vt:lpwstr>
  </property>
  <property fmtid="{D5CDD505-2E9C-101B-9397-08002B2CF9AE}" pid="64" name="refDelim">
    <vt:lpwstr>, </vt:lpwstr>
  </property>
  <property fmtid="{D5CDD505-2E9C-101B-9397-08002B2CF9AE}" pid="65" name="refIndexTemplate">
    <vt:lpwstr>isuf</vt:lpwstr>
  </property>
  <property fmtid="{D5CDD505-2E9C-101B-9397-08002B2CF9AE}" pid="66" name="romanfont">
    <vt:lpwstr>IBM Plex Serif</vt:lpwstr>
  </property>
  <property fmtid="{D5CDD505-2E9C-101B-9397-08002B2CF9AE}" pid="67" name="romanfontoptions">
    <vt:lpwstr>Ligatures=Common,Ligatures=TeX,Scale=0.94</vt:lpwstr>
  </property>
  <property fmtid="{D5CDD505-2E9C-101B-9397-08002B2CF9AE}" pid="68" name="sansfont">
    <vt:lpwstr>IBM Plex Sans</vt:lpwstr>
  </property>
  <property fmtid="{D5CDD505-2E9C-101B-9397-08002B2CF9AE}" pid="69" name="sansfontoptions">
    <vt:lpwstr>Ligatures=Common,Ligatures=TeX,Scale=MatchLowercase,Scale=0.94</vt:lpwstr>
  </property>
  <property fmtid="{D5CDD505-2E9C-101B-9397-08002B2CF9AE}" pid="70" name="secHeaderDelim">
    <vt:lpwstr> </vt:lpwstr>
  </property>
  <property fmtid="{D5CDD505-2E9C-101B-9397-08002B2CF9AE}" pid="71" name="secHeaderTemplate">
    <vt:lpwstr>isecHeaderDelim[n]t</vt:lpwstr>
  </property>
  <property fmtid="{D5CDD505-2E9C-101B-9397-08002B2CF9AE}" pid="72" name="secLabels">
    <vt:lpwstr>arabic</vt:lpwstr>
  </property>
  <property fmtid="{D5CDD505-2E9C-101B-9397-08002B2CF9AE}" pid="73" name="secPrefix">
    <vt:lpwstr/>
  </property>
  <property fmtid="{D5CDD505-2E9C-101B-9397-08002B2CF9AE}" pid="74" name="secPrefixTemplate">
    <vt:lpwstr>p i</vt:lpwstr>
  </property>
  <property fmtid="{D5CDD505-2E9C-101B-9397-08002B2CF9AE}" pid="75" name="sectionsDepth">
    <vt:lpwstr>0</vt:lpwstr>
  </property>
  <property fmtid="{D5CDD505-2E9C-101B-9397-08002B2CF9AE}" pid="76" name="subfigGrid">
    <vt:lpwstr>False</vt:lpwstr>
  </property>
  <property fmtid="{D5CDD505-2E9C-101B-9397-08002B2CF9AE}" pid="77" name="subfigLabels">
    <vt:lpwstr>alpha a</vt:lpwstr>
  </property>
  <property fmtid="{D5CDD505-2E9C-101B-9397-08002B2CF9AE}" pid="78" name="subfigureChildTemplate">
    <vt:lpwstr>i</vt:lpwstr>
  </property>
  <property fmtid="{D5CDD505-2E9C-101B-9397-08002B2CF9AE}" pid="79" name="subfigureRefIndexTemplate">
    <vt:lpwstr>isuf (s)</vt:lpwstr>
  </property>
  <property fmtid="{D5CDD505-2E9C-101B-9397-08002B2CF9AE}" pid="80" name="subfigureTemplate">
    <vt:lpwstr>figureTitle ititleDelim t. ccs</vt:lpwstr>
  </property>
  <property fmtid="{D5CDD505-2E9C-101B-9397-08002B2CF9AE}" pid="81" name="subtitle">
    <vt:lpwstr>Простейший вариант</vt:lpwstr>
  </property>
  <property fmtid="{D5CDD505-2E9C-101B-9397-08002B2CF9AE}" pid="82" name="tableEqns">
    <vt:lpwstr>False</vt:lpwstr>
  </property>
  <property fmtid="{D5CDD505-2E9C-101B-9397-08002B2CF9AE}" pid="83" name="tableTemplate">
    <vt:lpwstr>tableTitle ititleDelim t</vt:lpwstr>
  </property>
  <property fmtid="{D5CDD505-2E9C-101B-9397-08002B2CF9AE}" pid="84" name="tableTitle">
    <vt:lpwstr>Таблица</vt:lpwstr>
  </property>
  <property fmtid="{D5CDD505-2E9C-101B-9397-08002B2CF9AE}" pid="85" name="tblLabels">
    <vt:lpwstr>arabic</vt:lpwstr>
  </property>
  <property fmtid="{D5CDD505-2E9C-101B-9397-08002B2CF9AE}" pid="86" name="tblPrefix">
    <vt:lpwstr/>
  </property>
  <property fmtid="{D5CDD505-2E9C-101B-9397-08002B2CF9AE}" pid="87" name="tblPrefixTemplate">
    <vt:lpwstr>p i</vt:lpwstr>
  </property>
  <property fmtid="{D5CDD505-2E9C-101B-9397-08002B2CF9AE}" pid="88" name="titleDelim">
    <vt:lpwstr>:</vt:lpwstr>
  </property>
  <property fmtid="{D5CDD505-2E9C-101B-9397-08002B2CF9AE}" pid="89" name="toc">
    <vt:lpwstr>True</vt:lpwstr>
  </property>
  <property fmtid="{D5CDD505-2E9C-101B-9397-08002B2CF9AE}" pid="90" name="toc-depth">
    <vt:lpwstr>2</vt:lpwstr>
  </property>
  <property fmtid="{D5CDD505-2E9C-101B-9397-08002B2CF9AE}" pid="91" name="toc-title">
    <vt:lpwstr>Содержание</vt:lpwstr>
  </property>
</Properties>
</file>