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93AA" w14:textId="4D4486DC" w:rsidR="00BE3973" w:rsidRDefault="00C94D58" w:rsidP="003F76A7">
      <w:pPr>
        <w:pStyle w:val="Header"/>
      </w:pPr>
      <w:r>
        <w:t>Last month</w:t>
      </w:r>
      <w:r w:rsidR="004C38B9">
        <w:t xml:space="preserve">’s posting introduced the Metropolis-Hastings </w:t>
      </w:r>
      <w:r w:rsidR="007145C3">
        <w:t xml:space="preserve">(MH) </w:t>
      </w:r>
      <w:r w:rsidR="004C38B9">
        <w:t xml:space="preserve">method for generating a </w:t>
      </w:r>
      <w:r w:rsidR="00B523EE">
        <w:t xml:space="preserve">sample distribution from just about any functional form.  This method can in handy particularly for methods </w:t>
      </w:r>
      <w:r w:rsidR="00D75797">
        <w:t>that are analytically intractable so that the inverse-transform method would be</w:t>
      </w:r>
      <w:r w:rsidR="00BE3973">
        <w:t xml:space="preserve"> useless and for which the accept-reject method would be too inefficient.  </w:t>
      </w:r>
    </w:p>
    <w:p w14:paraId="0E52DC1F" w14:textId="77777777" w:rsidR="00BE3973" w:rsidRDefault="00BE3973" w:rsidP="003F76A7">
      <w:pPr>
        <w:pStyle w:val="Header"/>
      </w:pPr>
    </w:p>
    <w:p w14:paraId="739C7259" w14:textId="6179DAF0" w:rsidR="002F62F6" w:rsidRDefault="00BE3973" w:rsidP="00DC3C52">
      <w:pPr>
        <w:pStyle w:val="Header"/>
      </w:pPr>
      <w:r>
        <w:t>The Metropolis-Hastings algorithm</w:t>
      </w:r>
      <w:r w:rsidR="004C21D5">
        <w:t xml:space="preserve">, which is </w:t>
      </w:r>
      <w:r>
        <w:t xml:space="preserve">particular instance of the broader </w:t>
      </w:r>
      <w:r w:rsidR="00106B68">
        <w:t>Markov Chain Monte Carlo (MCMC)</w:t>
      </w:r>
      <w:r>
        <w:t xml:space="preserve"> methods</w:t>
      </w:r>
      <w:r w:rsidR="004C21D5">
        <w:t xml:space="preserve">, brings us the desired flexibility at the expense of </w:t>
      </w:r>
      <w:r w:rsidR="00C136F0">
        <w:t xml:space="preserve">being computationally more </w:t>
      </w:r>
      <w:r w:rsidR="00DE5F11">
        <w:t xml:space="preserve">involved and </w:t>
      </w:r>
      <w:r w:rsidR="00C136F0">
        <w:t xml:space="preserve">expensive.  </w:t>
      </w:r>
      <w:r w:rsidR="00DE5F11">
        <w:t>As a reminder, th</w:t>
      </w:r>
      <w:r w:rsidR="00C136F0">
        <w:t>e algor</w:t>
      </w:r>
      <w:r w:rsidR="002F62F6">
        <w:t>ithm works as follows:</w:t>
      </w:r>
    </w:p>
    <w:p w14:paraId="2E0C153F" w14:textId="77777777" w:rsidR="002F62F6" w:rsidRDefault="002F62F6" w:rsidP="00DC3C52">
      <w:pPr>
        <w:pStyle w:val="Header"/>
      </w:pPr>
    </w:p>
    <w:p w14:paraId="4FBF3775" w14:textId="2090E403" w:rsidR="0058763A" w:rsidRDefault="0058763A" w:rsidP="0058763A">
      <w:pPr>
        <w:pStyle w:val="Header"/>
        <w:numPr>
          <w:ilvl w:val="0"/>
          <w:numId w:val="1"/>
        </w:numPr>
      </w:pPr>
      <w:r>
        <w:t>Setup</w:t>
      </w:r>
    </w:p>
    <w:p w14:paraId="04BA1EF7" w14:textId="47417AA7" w:rsidR="0058763A" w:rsidRDefault="0058763A" w:rsidP="0058763A">
      <w:pPr>
        <w:pStyle w:val="Header"/>
        <w:numPr>
          <w:ilvl w:val="1"/>
          <w:numId w:val="1"/>
        </w:numPr>
      </w:pPr>
      <w:r>
        <w:t xml:space="preserve">Select the distribution </w:t>
      </w:r>
      <w:r w:rsidR="002469B1">
        <w:t xml:space="preserve">$f(x)$ </w:t>
      </w:r>
      <w:r>
        <w:t>from which a set random numbers are desired</w:t>
      </w:r>
    </w:p>
    <w:p w14:paraId="2304839A" w14:textId="523DE9C4" w:rsidR="0058763A" w:rsidRDefault="0058763A" w:rsidP="0058763A">
      <w:pPr>
        <w:pStyle w:val="Header"/>
        <w:numPr>
          <w:ilvl w:val="1"/>
          <w:numId w:val="1"/>
        </w:numPr>
      </w:pPr>
      <w:r>
        <w:t xml:space="preserve">Arbitrarily assign a value </w:t>
      </w:r>
      <w:r w:rsidR="002469B1">
        <w:t>to a</w:t>
      </w:r>
      <w:r>
        <w:t xml:space="preserve"> random </w:t>
      </w:r>
      <w:r w:rsidR="002469B1">
        <w:t xml:space="preserve">realization $x_{start}$ of the desired distribution </w:t>
      </w:r>
      <w:r>
        <w:t xml:space="preserve">consistent with </w:t>
      </w:r>
      <w:r w:rsidR="002469B1">
        <w:t xml:space="preserve">its </w:t>
      </w:r>
      <w:r>
        <w:t>range</w:t>
      </w:r>
    </w:p>
    <w:p w14:paraId="7CE9F1F3" w14:textId="27FEA0D9" w:rsidR="0058763A" w:rsidRDefault="0058763A" w:rsidP="0058763A">
      <w:pPr>
        <w:pStyle w:val="Header"/>
        <w:numPr>
          <w:ilvl w:val="1"/>
          <w:numId w:val="1"/>
        </w:numPr>
      </w:pPr>
      <w:r>
        <w:t xml:space="preserve">Select a simple distribution </w:t>
      </w:r>
      <w:r w:rsidR="002469B1">
        <w:t xml:space="preserve">$g(x|x_{cur})$, centered on the current value of the realization </w:t>
      </w:r>
      <w:r>
        <w:t>from which to draw candidate changes</w:t>
      </w:r>
      <w:r w:rsidR="002469B1">
        <w:t xml:space="preserve"> </w:t>
      </w:r>
    </w:p>
    <w:p w14:paraId="2BA9A80F" w14:textId="77777777" w:rsidR="0058763A" w:rsidRDefault="0058763A" w:rsidP="0058763A">
      <w:pPr>
        <w:pStyle w:val="Header"/>
        <w:numPr>
          <w:ilvl w:val="0"/>
          <w:numId w:val="1"/>
        </w:numPr>
      </w:pPr>
      <w:r>
        <w:t>Execution</w:t>
      </w:r>
    </w:p>
    <w:p w14:paraId="211FAC4D" w14:textId="13CDD873" w:rsidR="00401753" w:rsidRDefault="00AB1A83" w:rsidP="0058763A">
      <w:pPr>
        <w:pStyle w:val="Header"/>
        <w:numPr>
          <w:ilvl w:val="1"/>
          <w:numId w:val="1"/>
        </w:numPr>
      </w:pPr>
      <w:r>
        <w:t>Draw a change from $g(x|x_{cur})$</w:t>
      </w:r>
    </w:p>
    <w:p w14:paraId="3B3F80F9" w14:textId="259F4FF3" w:rsidR="00AB1A83" w:rsidRDefault="00AB1A83" w:rsidP="0058763A">
      <w:pPr>
        <w:pStyle w:val="Header"/>
        <w:numPr>
          <w:ilvl w:val="1"/>
          <w:numId w:val="1"/>
        </w:numPr>
      </w:pPr>
      <w:r>
        <w:t>Create a candidate new realization $x_{cand}$</w:t>
      </w:r>
    </w:p>
    <w:p w14:paraId="6756559B" w14:textId="4258D52A" w:rsidR="00AB1A83" w:rsidRDefault="00AB1A83" w:rsidP="0058763A">
      <w:pPr>
        <w:pStyle w:val="Header"/>
        <w:numPr>
          <w:ilvl w:val="1"/>
          <w:numId w:val="1"/>
        </w:numPr>
      </w:pPr>
      <w:r>
        <w:t>Form the ratio $R</w:t>
      </w:r>
      <w:r w:rsidR="000C4467">
        <w:t>_f</w:t>
      </w:r>
      <w:r>
        <w:t xml:space="preserve"> = f(x_{cand})/f(x_{cur})$</w:t>
      </w:r>
    </w:p>
    <w:p w14:paraId="77880BEA" w14:textId="13AE8D5C" w:rsidR="00AB1A83" w:rsidRDefault="00AB1A83" w:rsidP="0058763A">
      <w:pPr>
        <w:pStyle w:val="Header"/>
        <w:numPr>
          <w:ilvl w:val="1"/>
          <w:numId w:val="1"/>
        </w:numPr>
      </w:pPr>
      <w:r>
        <w:t>Make a decision as the keeping or rejecting $x_{cand}$ as the new state to transition to according to the Metropolis-Hastings rule</w:t>
      </w:r>
    </w:p>
    <w:p w14:paraId="3BB29A83" w14:textId="5D6FA230" w:rsidR="0044477D" w:rsidRDefault="00AB1A83" w:rsidP="0044477D">
      <w:pPr>
        <w:pStyle w:val="Header"/>
        <w:numPr>
          <w:ilvl w:val="2"/>
          <w:numId w:val="1"/>
        </w:numPr>
      </w:pPr>
      <w:r>
        <w:t xml:space="preserve">If </w:t>
      </w:r>
      <w:r w:rsidR="0044477D">
        <w:t>$R</w:t>
      </w:r>
      <w:r w:rsidR="000C4467">
        <w:t>_f</w:t>
      </w:r>
      <w:r w:rsidR="0044477D">
        <w:t xml:space="preserve"> \geq 1$ then keep the change and let $x_{cur} = x_{cand}$</w:t>
      </w:r>
    </w:p>
    <w:p w14:paraId="2F9237FE" w14:textId="609AD9C8" w:rsidR="0044477D" w:rsidRDefault="0044477D" w:rsidP="0044477D">
      <w:pPr>
        <w:pStyle w:val="Header"/>
        <w:numPr>
          <w:ilvl w:val="2"/>
          <w:numId w:val="1"/>
        </w:numPr>
      </w:pPr>
      <w:r>
        <w:t>If $R</w:t>
      </w:r>
      <w:r w:rsidR="000C4467">
        <w:t>_f</w:t>
      </w:r>
      <w:r>
        <w:t xml:space="preserve"> &lt; 1$ then draw a random number $q$ from the unit uniform distribution and make the transition if $q &lt; R</w:t>
      </w:r>
      <w:r w:rsidR="000C4467">
        <w:t>_f</w:t>
      </w:r>
      <w:r>
        <w:t>$</w:t>
      </w:r>
    </w:p>
    <w:p w14:paraId="6C43CF86" w14:textId="77777777" w:rsidR="000C4467" w:rsidRDefault="000C4467" w:rsidP="0044477D">
      <w:pPr>
        <w:pStyle w:val="Header"/>
      </w:pPr>
    </w:p>
    <w:p w14:paraId="1E828659" w14:textId="77777777" w:rsidR="00104046" w:rsidRDefault="00444675" w:rsidP="0044477D">
      <w:pPr>
        <w:pStyle w:val="Header"/>
      </w:pPr>
      <w:r>
        <w:t xml:space="preserve">and the explicit promise of this month’s installment was the explanation as to why this set of rules actually works.  </w:t>
      </w:r>
    </w:p>
    <w:p w14:paraId="20CFBECA" w14:textId="77777777" w:rsidR="00104046" w:rsidRDefault="00104046" w:rsidP="0044477D">
      <w:pPr>
        <w:pStyle w:val="Header"/>
      </w:pPr>
    </w:p>
    <w:p w14:paraId="1D07A9FA" w14:textId="77777777" w:rsidR="00104046" w:rsidRDefault="000C4467" w:rsidP="0044477D">
      <w:pPr>
        <w:pStyle w:val="Header"/>
      </w:pPr>
      <w:r>
        <w:t>Technically speaking, the algorithm</w:t>
      </w:r>
      <w:r w:rsidR="00104046">
        <w:t xml:space="preserve">, as written </w:t>
      </w:r>
      <w:r>
        <w:t>above</w:t>
      </w:r>
      <w:r w:rsidR="00104046">
        <w:t xml:space="preserve">, </w:t>
      </w:r>
      <w:r>
        <w:t xml:space="preserve">is </w:t>
      </w:r>
      <w:r w:rsidR="00872DBE">
        <w:t>strictly the Metropolis</w:t>
      </w:r>
      <w:r w:rsidR="00394D7A">
        <w:t xml:space="preserve">-Hastings </w:t>
      </w:r>
      <w:r w:rsidR="00872DBE">
        <w:t xml:space="preserve">algorithm </w:t>
      </w:r>
      <w:r w:rsidR="00394D7A">
        <w:t>for the case where the simple distribution $g(x|x_{cur})$ is symmetric</w:t>
      </w:r>
      <w:r w:rsidR="00104046">
        <w:t>; t</w:t>
      </w:r>
      <w:r w:rsidR="00444675">
        <w:t xml:space="preserve">he modification for the case of non-symmetric distributions will emerge naturally in the course of </w:t>
      </w:r>
      <w:r w:rsidR="00104046">
        <w:t>justification for the rules.</w:t>
      </w:r>
    </w:p>
    <w:p w14:paraId="7B61253B" w14:textId="77777777" w:rsidR="00104046" w:rsidRDefault="00104046" w:rsidP="0044477D">
      <w:pPr>
        <w:pStyle w:val="Header"/>
      </w:pPr>
    </w:p>
    <w:p w14:paraId="4B9338BA" w14:textId="77777777" w:rsidR="00C84140" w:rsidRDefault="00104046" w:rsidP="0044477D">
      <w:pPr>
        <w:pStyle w:val="Header"/>
      </w:pPr>
      <w:r>
        <w:t xml:space="preserve">The arguments presented here closely follow the excellent online presentation </w:t>
      </w:r>
      <w:r w:rsidR="00C84140">
        <w:t>by ritvikmath:</w:t>
      </w:r>
    </w:p>
    <w:p w14:paraId="51333300" w14:textId="77777777" w:rsidR="00C84140" w:rsidRDefault="00C84140" w:rsidP="0044477D">
      <w:pPr>
        <w:pStyle w:val="Header"/>
      </w:pPr>
    </w:p>
    <w:p w14:paraId="725804BB" w14:textId="0D61B167" w:rsidR="00C84140" w:rsidRDefault="00C84140" w:rsidP="0044477D">
      <w:pPr>
        <w:pStyle w:val="Header"/>
      </w:pPr>
      <w:r w:rsidRPr="00C84140">
        <w:t>&lt;iframe width="560" height="315" src="https://www.youtube.com/embed/yCv2N7wGDCw" title="YouTube video player" frameborder="0" allow="accelerometer; autoplay; clipboard-write; encrypted-media; gyroscope; picture-in-picture" allowfullscreen&gt;&lt;/iframe&gt;</w:t>
      </w:r>
    </w:p>
    <w:p w14:paraId="5255D00B" w14:textId="77777777" w:rsidR="00C84140" w:rsidRDefault="00C84140" w:rsidP="0044477D">
      <w:pPr>
        <w:pStyle w:val="Header"/>
      </w:pPr>
    </w:p>
    <w:p w14:paraId="5A842A2F" w14:textId="201322F1" w:rsidR="00453409" w:rsidRDefault="00453409" w:rsidP="0044477D">
      <w:pPr>
        <w:pStyle w:val="Header"/>
      </w:pPr>
      <w:r>
        <w:t>To start, we relate our distribution $f(x)$ to the corresponding probability by</w:t>
      </w:r>
    </w:p>
    <w:p w14:paraId="6A598168" w14:textId="77777777" w:rsidR="00453409" w:rsidRDefault="00453409" w:rsidP="0044477D">
      <w:pPr>
        <w:pStyle w:val="Header"/>
      </w:pPr>
    </w:p>
    <w:p w14:paraId="0597E656" w14:textId="398AD0CD" w:rsidR="00453409" w:rsidRDefault="00453409" w:rsidP="0044477D">
      <w:pPr>
        <w:pStyle w:val="Header"/>
      </w:pPr>
      <w:r>
        <w:t>\[ p(x) = \frac{f(x)}{N</w:t>
      </w:r>
      <w:r w:rsidR="00900111">
        <w:t>_C} \; , \]</w:t>
      </w:r>
    </w:p>
    <w:p w14:paraId="4990DAF8" w14:textId="77777777" w:rsidR="00900111" w:rsidRDefault="00900111" w:rsidP="0044477D">
      <w:pPr>
        <w:pStyle w:val="Header"/>
      </w:pPr>
    </w:p>
    <w:p w14:paraId="43413A93" w14:textId="0D6F008A" w:rsidR="00900111" w:rsidRDefault="00900111" w:rsidP="0044477D">
      <w:pPr>
        <w:pStyle w:val="Header"/>
      </w:pPr>
      <w:r>
        <w:t>where $N_C$ is the normalization constant that is usually impossible to calculate analytically either because the functional form of $f(x)$ possess no analytic anti-derivative or the distribution is defined in high dimensions or both.</w:t>
      </w:r>
    </w:p>
    <w:p w14:paraId="6A052D03" w14:textId="77777777" w:rsidR="00900111" w:rsidRDefault="00900111" w:rsidP="0044477D">
      <w:pPr>
        <w:pStyle w:val="Header"/>
      </w:pPr>
    </w:p>
    <w:p w14:paraId="0DFE1AE0" w14:textId="77777777" w:rsidR="007145C3" w:rsidRDefault="0048576E" w:rsidP="0044477D">
      <w:pPr>
        <w:pStyle w:val="Header"/>
      </w:pPr>
      <w:r>
        <w:t xml:space="preserve">The </w:t>
      </w:r>
      <w:r w:rsidR="007145C3">
        <w:t>MH</w:t>
      </w:r>
      <w:r>
        <w:t xml:space="preserve"> algorithm pair</w:t>
      </w:r>
      <w:r w:rsidR="007145C3">
        <w:t>s</w:t>
      </w:r>
      <w:r>
        <w:t xml:space="preserve"> $p(x)$ with a known probability distribution $g(x)$ but in a way such that the algorithm ‘learns’ where to concentrate its effort</w:t>
      </w:r>
      <w:r w:rsidR="00CB49BB">
        <w:t xml:space="preserve"> by having $g(x)$ follow the current state around (in </w:t>
      </w:r>
      <w:r w:rsidR="00CB49BB">
        <w:lastRenderedPageBreak/>
        <w:t>contrast to the accept-reject method where $g(x)$ is stationary).</w:t>
      </w:r>
      <w:r w:rsidR="007145C3">
        <w:t xml:space="preserve">  </w:t>
      </w:r>
      <w:r w:rsidR="00CB49BB">
        <w:t>At each step,</w:t>
      </w:r>
      <w:r w:rsidR="007145C3">
        <w:t xml:space="preserve"> the transition from the current state $a$ to the proposed or candidate next state $b$ happens according to the transition probability</w:t>
      </w:r>
    </w:p>
    <w:p w14:paraId="5815B4D8" w14:textId="77777777" w:rsidR="007145C3" w:rsidRDefault="007145C3" w:rsidP="0044477D">
      <w:pPr>
        <w:pStyle w:val="Header"/>
      </w:pPr>
    </w:p>
    <w:p w14:paraId="122C66EB" w14:textId="136528C8" w:rsidR="00681466" w:rsidRDefault="007145C3" w:rsidP="0044477D">
      <w:pPr>
        <w:pStyle w:val="Header"/>
      </w:pPr>
      <w:r>
        <w:t xml:space="preserve">\[ </w:t>
      </w:r>
      <w:r w:rsidR="00681466">
        <w:t>T(a \rightarrow b) = g(b|a) A(a \rightarrow b) \; , \]</w:t>
      </w:r>
    </w:p>
    <w:p w14:paraId="3FDCFE99" w14:textId="77777777" w:rsidR="00681466" w:rsidRDefault="00681466" w:rsidP="0044477D">
      <w:pPr>
        <w:pStyle w:val="Header"/>
      </w:pPr>
    </w:p>
    <w:p w14:paraId="1205D765" w14:textId="38026A7A" w:rsidR="00681466" w:rsidRDefault="00681466" w:rsidP="0044477D">
      <w:pPr>
        <w:pStyle w:val="Header"/>
      </w:pPr>
      <w:r>
        <w:t>where $g(b|a)$ is conditional draw from $g(x)$ centered on state $a$ (i.e., $g$ follows the current state around)</w:t>
      </w:r>
      <w:r w:rsidR="006626AC">
        <w:t xml:space="preserve"> and the transition probability $A(a \rightarrow b)$ is the MH decision step</w:t>
      </w:r>
      <w:r w:rsidR="00F47F81">
        <w:t xml:space="preserve">.  The right-hand-side of the transition probability directly maps $g(b|a)$ and $A(a \rightarrow b)$ to the first two and the last two </w:t>
      </w:r>
      <w:r w:rsidR="00C27A93">
        <w:t>sub-bullets of the execution step above</w:t>
      </w:r>
      <w:r w:rsidR="00F47F81">
        <w:t>, respectively</w:t>
      </w:r>
      <w:r w:rsidR="00C27A93">
        <w:t xml:space="preserve">.  </w:t>
      </w:r>
    </w:p>
    <w:p w14:paraId="343D8E9A" w14:textId="77777777" w:rsidR="00F47F81" w:rsidRDefault="00F47F81" w:rsidP="0044477D">
      <w:pPr>
        <w:pStyle w:val="Header"/>
      </w:pPr>
    </w:p>
    <w:p w14:paraId="4ABC476C" w14:textId="77777777" w:rsidR="00AE1851" w:rsidRDefault="00F47F81" w:rsidP="0044477D">
      <w:pPr>
        <w:pStyle w:val="Header"/>
      </w:pPr>
      <w:r>
        <w:t xml:space="preserve">To derive the MH decision step correctly describes $A(a \rightarrow b)$, we impose detailed balance, </w:t>
      </w:r>
    </w:p>
    <w:p w14:paraId="697042BF" w14:textId="77777777" w:rsidR="00AE1851" w:rsidRDefault="00AE1851" w:rsidP="0044477D">
      <w:pPr>
        <w:pStyle w:val="Header"/>
      </w:pPr>
    </w:p>
    <w:p w14:paraId="0D445858" w14:textId="7BB2235D" w:rsidR="00AE1851" w:rsidRDefault="00AE1851" w:rsidP="0044477D">
      <w:pPr>
        <w:pStyle w:val="Header"/>
      </w:pPr>
      <w:r>
        <w:t>\[ p(a) T(a \rightarrow b) = p(b) T(b \rightarrow a) \; \]</w:t>
      </w:r>
    </w:p>
    <w:p w14:paraId="30BD2598" w14:textId="77777777" w:rsidR="00AE1851" w:rsidRDefault="00AE1851" w:rsidP="0044477D">
      <w:pPr>
        <w:pStyle w:val="Header"/>
      </w:pPr>
    </w:p>
    <w:p w14:paraId="310CD02C" w14:textId="29EC0E45" w:rsidR="00F47F81" w:rsidRDefault="00F47F81" w:rsidP="0044477D">
      <w:pPr>
        <w:pStyle w:val="Header"/>
      </w:pPr>
      <w:r>
        <w:t>guaranteeing that the MCMC will eventually result in a stationary distribution.</w:t>
      </w:r>
      <w:r w:rsidR="00AE1851">
        <w:t xml:space="preserve">  That detailed balance give stationary distributions of the Markov chain is most easily seen by summing both sides over</w:t>
      </w:r>
      <w:r w:rsidR="00894F42">
        <w:t xml:space="preserve"> $a$ to arrive at a matrix analog of </w:t>
      </w:r>
      <w:r w:rsidR="00596343">
        <w:t xml:space="preserve">the stationary requirement ${\bar S}^* = M {\bar S}^*$ used in the </w:t>
      </w:r>
      <w:hyperlink r:id="rId7" w:history="1">
        <w:r w:rsidR="00596343" w:rsidRPr="003D21B9">
          <w:rPr>
            <w:rStyle w:val="Hyperlink"/>
          </w:rPr>
          <w:t>Sunny Day Markov</w:t>
        </w:r>
      </w:hyperlink>
      <w:r w:rsidR="00596343">
        <w:t xml:space="preserve"> chain post.</w:t>
      </w:r>
    </w:p>
    <w:p w14:paraId="3E82702B" w14:textId="77777777" w:rsidR="00A3499D" w:rsidRDefault="00A3499D" w:rsidP="0044477D">
      <w:pPr>
        <w:pStyle w:val="Header"/>
      </w:pPr>
    </w:p>
    <w:p w14:paraId="3EC17686" w14:textId="27F1635E" w:rsidR="00A3499D" w:rsidRDefault="00A3499D" w:rsidP="0044477D">
      <w:pPr>
        <w:pStyle w:val="Header"/>
      </w:pPr>
      <w:r>
        <w:t xml:space="preserve">The next step involve a straightforward plugging-in of earlier relations to yield </w:t>
      </w:r>
    </w:p>
    <w:p w14:paraId="58EC6E32" w14:textId="77777777" w:rsidR="00A3499D" w:rsidRDefault="00A3499D" w:rsidP="0044477D">
      <w:pPr>
        <w:pStyle w:val="Header"/>
      </w:pPr>
    </w:p>
    <w:p w14:paraId="68000688" w14:textId="4B9B82AF" w:rsidR="00A3499D" w:rsidRDefault="00A3499D" w:rsidP="0044477D">
      <w:pPr>
        <w:pStyle w:val="Header"/>
      </w:pPr>
      <w:r>
        <w:t xml:space="preserve">\[ \frac{f(a)}{N_C} g(b|a) A(a \rightarrow b) = </w:t>
      </w:r>
      <w:r>
        <w:t>\frac{f(</w:t>
      </w:r>
      <w:r>
        <w:t>b</w:t>
      </w:r>
      <w:r>
        <w:t>)}{N_C} g(</w:t>
      </w:r>
      <w:r>
        <w:t>a</w:t>
      </w:r>
      <w:r>
        <w:t>|</w:t>
      </w:r>
      <w:r>
        <w:t>b</w:t>
      </w:r>
      <w:r>
        <w:t>) A(</w:t>
      </w:r>
      <w:r>
        <w:t>b</w:t>
      </w:r>
      <w:r>
        <w:t xml:space="preserve"> \rightarrow </w:t>
      </w:r>
      <w:r>
        <w:t>a</w:t>
      </w:r>
      <w:r>
        <w:t>)</w:t>
      </w:r>
      <w:r>
        <w:t xml:space="preserve"> \; . \]</w:t>
      </w:r>
    </w:p>
    <w:p w14:paraId="7CAEC9A7" w14:textId="77777777" w:rsidR="00F47F81" w:rsidRDefault="00F47F81" w:rsidP="0044477D">
      <w:pPr>
        <w:pStyle w:val="Header"/>
      </w:pPr>
    </w:p>
    <w:p w14:paraId="16A1BBF7" w14:textId="6DE7F7B6" w:rsidR="00CB49BB" w:rsidRDefault="00CB49BB" w:rsidP="0044477D">
      <w:pPr>
        <w:pStyle w:val="Header"/>
      </w:pPr>
      <w:r>
        <w:t xml:space="preserve"> </w:t>
      </w:r>
      <w:r w:rsidR="00A3499D">
        <w:t>Collecting all of the $A$’s over on one side gives</w:t>
      </w:r>
    </w:p>
    <w:p w14:paraId="47AEC324" w14:textId="7115EB55" w:rsidR="00A3499D" w:rsidRDefault="00A3499D" w:rsidP="0044477D">
      <w:pPr>
        <w:pStyle w:val="Header"/>
      </w:pPr>
    </w:p>
    <w:p w14:paraId="13881F3E" w14:textId="2782D575" w:rsidR="00A3499D" w:rsidRDefault="00A3499D" w:rsidP="0044477D">
      <w:pPr>
        <w:pStyle w:val="Header"/>
      </w:pPr>
      <w:r>
        <w:t>\[ \frac{A(a \rightarrow b)}{A(b \rightarrow a)} = \frac{</w:t>
      </w:r>
      <w:r w:rsidR="00F7419C">
        <w:t>f(b)}{f(a)} \frac{g(a|b)}{g(b|a)} \; . \]</w:t>
      </w:r>
    </w:p>
    <w:p w14:paraId="7F173F3C" w14:textId="77777777" w:rsidR="00F7419C" w:rsidRDefault="00F7419C" w:rsidP="0044477D">
      <w:pPr>
        <w:pStyle w:val="Header"/>
      </w:pPr>
    </w:p>
    <w:p w14:paraId="2670D221" w14:textId="2784AC43" w:rsidR="00F7419C" w:rsidRDefault="00F7419C" w:rsidP="0044477D">
      <w:pPr>
        <w:pStyle w:val="Header"/>
      </w:pPr>
      <w:r>
        <w:t>Next define, for convenience, the two ratios</w:t>
      </w:r>
    </w:p>
    <w:p w14:paraId="25A8BECA" w14:textId="47F1AF52" w:rsidR="00F7419C" w:rsidRDefault="00F7419C" w:rsidP="0044477D">
      <w:pPr>
        <w:pStyle w:val="Header"/>
      </w:pPr>
    </w:p>
    <w:p w14:paraId="2820CAAC" w14:textId="59B6B22B" w:rsidR="00F7419C" w:rsidRDefault="00F7419C" w:rsidP="0044477D">
      <w:pPr>
        <w:pStyle w:val="Header"/>
      </w:pPr>
      <w:r>
        <w:t xml:space="preserve">\[ R_f = </w:t>
      </w:r>
      <w:r w:rsidR="003B4A76">
        <w:t>\frac{f(b)}{f(a)} \; \]</w:t>
      </w:r>
    </w:p>
    <w:p w14:paraId="726E4FE0" w14:textId="77777777" w:rsidR="003B4A76" w:rsidRDefault="003B4A76" w:rsidP="0044477D">
      <w:pPr>
        <w:pStyle w:val="Header"/>
      </w:pPr>
    </w:p>
    <w:p w14:paraId="1D0184D8" w14:textId="2E93EBDF" w:rsidR="003B4A76" w:rsidRDefault="003B4A76" w:rsidP="0044477D">
      <w:pPr>
        <w:pStyle w:val="Header"/>
      </w:pPr>
      <w:r>
        <w:t>and</w:t>
      </w:r>
    </w:p>
    <w:p w14:paraId="0482A8E9" w14:textId="77777777" w:rsidR="003B4A76" w:rsidRDefault="003B4A76" w:rsidP="0044477D">
      <w:pPr>
        <w:pStyle w:val="Header"/>
      </w:pPr>
    </w:p>
    <w:p w14:paraId="54A61D31" w14:textId="48C4CFB7" w:rsidR="003B4A76" w:rsidRDefault="003B4A76" w:rsidP="0044477D">
      <w:pPr>
        <w:pStyle w:val="Header"/>
      </w:pPr>
      <w:r>
        <w:t>\[ R_g = \frac{ g(a|b) }{ g(b|a) }  \; . \]</w:t>
      </w:r>
    </w:p>
    <w:p w14:paraId="536C90FA" w14:textId="77777777" w:rsidR="003B4A76" w:rsidRDefault="003B4A76" w:rsidP="0044477D">
      <w:pPr>
        <w:pStyle w:val="Header"/>
      </w:pPr>
    </w:p>
    <w:p w14:paraId="0D416965" w14:textId="50DFEFBC" w:rsidR="003B4A76" w:rsidRDefault="003B4A76" w:rsidP="0044477D">
      <w:pPr>
        <w:pStyle w:val="Header"/>
      </w:pPr>
      <w:r>
        <w:t>Note that $R_f$ is the ratio defined earlier and that $R_g$ is exactly 1 when the $g(x)$ is a symmetric distribution.</w:t>
      </w:r>
    </w:p>
    <w:p w14:paraId="4C28FA5D" w14:textId="77777777" w:rsidR="00BD46B1" w:rsidRDefault="00BD46B1" w:rsidP="0044477D">
      <w:pPr>
        <w:pStyle w:val="Header"/>
      </w:pPr>
    </w:p>
    <w:p w14:paraId="7D0CD8AF" w14:textId="77777777" w:rsidR="00264EC7" w:rsidRDefault="00BD46B1" w:rsidP="00607C73">
      <w:pPr>
        <w:pStyle w:val="Header"/>
      </w:pPr>
      <w:r>
        <w:t>Now, we analyze two separate cases to make sure that the transitions $A(a \rightarrow b)$ and $A(b \rightarrow a)$ can actually satisfy detailed-balance.</w:t>
      </w:r>
      <w:r w:rsidR="00607C73">
        <w:t xml:space="preserve">  </w:t>
      </w:r>
    </w:p>
    <w:p w14:paraId="1DB8ADAE" w14:textId="77777777" w:rsidR="00264EC7" w:rsidRDefault="00264EC7" w:rsidP="00607C73">
      <w:pPr>
        <w:pStyle w:val="Header"/>
      </w:pPr>
    </w:p>
    <w:p w14:paraId="7C879B84" w14:textId="35B17545" w:rsidR="00264EC7" w:rsidRDefault="00607C73" w:rsidP="00607C73">
      <w:pPr>
        <w:pStyle w:val="Header"/>
      </w:pPr>
      <w:r>
        <w:t xml:space="preserve">First, if </w:t>
      </w:r>
      <w:r w:rsidR="0041296E">
        <w:t xml:space="preserve">$R_f R_g  &lt; 1$ then detailed balance will hold if we </w:t>
      </w:r>
      <w:r>
        <w:t xml:space="preserve">assign </w:t>
      </w:r>
      <w:r w:rsidR="0041296E">
        <w:t>$</w:t>
      </w:r>
      <w:r w:rsidR="00126AAF">
        <w:t>A(a \rightarrow b) = R_f R_g$ and $A(b \rightarrow a) = 1$.  Th</w:t>
      </w:r>
      <w:r w:rsidR="008609FC">
        <w:t>ese</w:t>
      </w:r>
      <w:r w:rsidR="00126AAF">
        <w:t xml:space="preserve"> conditions mean that</w:t>
      </w:r>
      <w:r w:rsidR="00264EC7">
        <w:t xml:space="preserve"> </w:t>
      </w:r>
      <w:r w:rsidR="00106C97">
        <w:t>we can interpret $A(a \rightarrow b)$ as a probability for making the transition and we can then draw a number $q$ from a uniform distribution to see if we beat the odds $q \leq R_f R_g$, in which case we transition to the state $b$.</w:t>
      </w:r>
    </w:p>
    <w:p w14:paraId="5D6DA173" w14:textId="77777777" w:rsidR="00264EC7" w:rsidRDefault="00264EC7" w:rsidP="00607C73">
      <w:pPr>
        <w:pStyle w:val="Header"/>
      </w:pPr>
    </w:p>
    <w:p w14:paraId="49CA1746" w14:textId="77777777" w:rsidR="008609FC" w:rsidRDefault="00264EC7" w:rsidP="00607C73">
      <w:pPr>
        <w:pStyle w:val="Header"/>
      </w:pPr>
      <w:r>
        <w:lastRenderedPageBreak/>
        <w:t xml:space="preserve">Second, if $R_f R_g \geq 1$ then detailed balance will hold is we assign $A(a \rightarrow b) = 1$ and </w:t>
      </w:r>
      <w:r w:rsidR="008609FC">
        <w:t>$A(b \rightarrow a) = R_f R_g$.  These conditions mean that we can interpret $A(a \rightarrow b)$ is being a demand, with 100% certainty, that we should make the change.</w:t>
      </w:r>
    </w:p>
    <w:p w14:paraId="33E3C118" w14:textId="77777777" w:rsidR="008609FC" w:rsidRDefault="008609FC" w:rsidP="00607C73">
      <w:pPr>
        <w:pStyle w:val="Header"/>
      </w:pPr>
    </w:p>
    <w:p w14:paraId="357D5D98" w14:textId="77777777" w:rsidR="008609FC" w:rsidRDefault="008609FC" w:rsidP="00607C73">
      <w:pPr>
        <w:pStyle w:val="Header"/>
      </w:pPr>
      <w:r>
        <w:t xml:space="preserve">These two cases, which comprise the MH decision rule, are often summarized as </w:t>
      </w:r>
    </w:p>
    <w:p w14:paraId="35B9F16A" w14:textId="77777777" w:rsidR="008609FC" w:rsidRDefault="008609FC" w:rsidP="00607C73">
      <w:pPr>
        <w:pStyle w:val="Header"/>
      </w:pPr>
    </w:p>
    <w:p w14:paraId="5FAAE39D" w14:textId="77777777" w:rsidR="008071A7" w:rsidRDefault="008609FC" w:rsidP="00607C73">
      <w:pPr>
        <w:pStyle w:val="Header"/>
      </w:pPr>
      <w:r>
        <w:t xml:space="preserve">\[ </w:t>
      </w:r>
      <w:r w:rsidR="008071A7">
        <w:t xml:space="preserve">A(a \rightarrow b) = Min(1,R_f R_g) \; \] </w:t>
      </w:r>
    </w:p>
    <w:p w14:paraId="01517F16" w14:textId="77777777" w:rsidR="008071A7" w:rsidRDefault="008071A7" w:rsidP="00607C73">
      <w:pPr>
        <w:pStyle w:val="Header"/>
      </w:pPr>
    </w:p>
    <w:p w14:paraId="5F508AF4" w14:textId="76C4F8F3" w:rsidR="008071A7" w:rsidRDefault="008071A7" w:rsidP="00607C73">
      <w:pPr>
        <w:pStyle w:val="Header"/>
      </w:pPr>
      <w:r>
        <w:t>or, in the case when $g(x)$ is symmetric</w:t>
      </w:r>
    </w:p>
    <w:p w14:paraId="16F81950" w14:textId="77777777" w:rsidR="008071A7" w:rsidRDefault="008071A7" w:rsidP="00607C73">
      <w:pPr>
        <w:pStyle w:val="Header"/>
      </w:pPr>
    </w:p>
    <w:p w14:paraId="17E44E8B" w14:textId="16592FD5" w:rsidR="00607C73" w:rsidRDefault="008071A7" w:rsidP="00607C73">
      <w:pPr>
        <w:pStyle w:val="Header"/>
      </w:pPr>
      <w:r>
        <w:t xml:space="preserve">\[ </w:t>
      </w:r>
      <w:r>
        <w:t>A(a \rightarrow b) = Min</w:t>
      </w:r>
      <w:r w:rsidR="00477B98">
        <w:t>\left</w:t>
      </w:r>
      <w:r>
        <w:t>(1,</w:t>
      </w:r>
      <w:r w:rsidR="00477B98">
        <w:t>\frac{f(b)}{f(a)}</w:t>
      </w:r>
      <w:r w:rsidR="00226479">
        <w:t>\right</w:t>
      </w:r>
      <w:r>
        <w:t>) \;</w:t>
      </w:r>
      <w:r>
        <w:t xml:space="preserve"> </w:t>
      </w:r>
      <w:r w:rsidR="00044F2F">
        <w:t>,</w:t>
      </w:r>
      <w:r>
        <w:t xml:space="preserve"> \]</w:t>
      </w:r>
    </w:p>
    <w:p w14:paraId="75CD24CF" w14:textId="77777777" w:rsidR="008071A7" w:rsidRDefault="008071A7" w:rsidP="00607C73">
      <w:pPr>
        <w:pStyle w:val="Header"/>
      </w:pPr>
    </w:p>
    <w:p w14:paraId="79C05745" w14:textId="2D515A00" w:rsidR="00044F2F" w:rsidRDefault="00044F2F" w:rsidP="00607C73">
      <w:pPr>
        <w:pStyle w:val="Header"/>
      </w:pPr>
      <w:r>
        <w:t>which is the form used in the algorithm listing above.</w:t>
      </w:r>
    </w:p>
    <w:p w14:paraId="51AE1F62" w14:textId="77777777" w:rsidR="008071A7" w:rsidRDefault="008071A7" w:rsidP="00607C73">
      <w:pPr>
        <w:pStyle w:val="Header"/>
      </w:pPr>
    </w:p>
    <w:sectPr w:rsidR="0080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264B" w14:textId="77777777" w:rsidR="003F76A7" w:rsidRDefault="003F76A7" w:rsidP="003F76A7">
      <w:pPr>
        <w:spacing w:after="0" w:line="240" w:lineRule="auto"/>
      </w:pPr>
      <w:r>
        <w:separator/>
      </w:r>
    </w:p>
  </w:endnote>
  <w:endnote w:type="continuationSeparator" w:id="0">
    <w:p w14:paraId="6720E72A" w14:textId="77777777" w:rsidR="003F76A7" w:rsidRDefault="003F76A7" w:rsidP="003F7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E88CD" w14:textId="77777777" w:rsidR="003F76A7" w:rsidRDefault="003F76A7" w:rsidP="003F76A7">
      <w:pPr>
        <w:spacing w:after="0" w:line="240" w:lineRule="auto"/>
      </w:pPr>
      <w:r>
        <w:separator/>
      </w:r>
    </w:p>
  </w:footnote>
  <w:footnote w:type="continuationSeparator" w:id="0">
    <w:p w14:paraId="35255808" w14:textId="77777777" w:rsidR="003F76A7" w:rsidRDefault="003F76A7" w:rsidP="003F7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DDC"/>
    <w:multiLevelType w:val="hybridMultilevel"/>
    <w:tmpl w:val="09740A2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24837A78"/>
    <w:multiLevelType w:val="hybridMultilevel"/>
    <w:tmpl w:val="5070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634062">
    <w:abstractNumId w:val="0"/>
  </w:num>
  <w:num w:numId="2" w16cid:durableId="178981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A7"/>
    <w:rsid w:val="00016967"/>
    <w:rsid w:val="00025558"/>
    <w:rsid w:val="00044F2F"/>
    <w:rsid w:val="000C4467"/>
    <w:rsid w:val="00104046"/>
    <w:rsid w:val="00106B68"/>
    <w:rsid w:val="00106C97"/>
    <w:rsid w:val="00126AAF"/>
    <w:rsid w:val="001C1A25"/>
    <w:rsid w:val="001F736E"/>
    <w:rsid w:val="00224090"/>
    <w:rsid w:val="00226479"/>
    <w:rsid w:val="002469B1"/>
    <w:rsid w:val="00264EC7"/>
    <w:rsid w:val="002B27AB"/>
    <w:rsid w:val="002F62F6"/>
    <w:rsid w:val="00366691"/>
    <w:rsid w:val="00394D7A"/>
    <w:rsid w:val="003A7A8F"/>
    <w:rsid w:val="003B4A76"/>
    <w:rsid w:val="003D21B9"/>
    <w:rsid w:val="003E3C0C"/>
    <w:rsid w:val="003F76A7"/>
    <w:rsid w:val="00401753"/>
    <w:rsid w:val="0041296E"/>
    <w:rsid w:val="00444675"/>
    <w:rsid w:val="0044477D"/>
    <w:rsid w:val="0044652D"/>
    <w:rsid w:val="00453409"/>
    <w:rsid w:val="00477B98"/>
    <w:rsid w:val="0048576E"/>
    <w:rsid w:val="0049700C"/>
    <w:rsid w:val="004C21D5"/>
    <w:rsid w:val="004C38B9"/>
    <w:rsid w:val="00505140"/>
    <w:rsid w:val="0058686D"/>
    <w:rsid w:val="0058763A"/>
    <w:rsid w:val="00596343"/>
    <w:rsid w:val="00607C73"/>
    <w:rsid w:val="006105A6"/>
    <w:rsid w:val="006600CB"/>
    <w:rsid w:val="006626AC"/>
    <w:rsid w:val="00665E42"/>
    <w:rsid w:val="00681466"/>
    <w:rsid w:val="007145C3"/>
    <w:rsid w:val="00743A2C"/>
    <w:rsid w:val="007C565B"/>
    <w:rsid w:val="008071A7"/>
    <w:rsid w:val="008609FC"/>
    <w:rsid w:val="00872DBE"/>
    <w:rsid w:val="00894F42"/>
    <w:rsid w:val="008D27DE"/>
    <w:rsid w:val="008F2F0A"/>
    <w:rsid w:val="00900111"/>
    <w:rsid w:val="00946C95"/>
    <w:rsid w:val="00995E12"/>
    <w:rsid w:val="00A2685F"/>
    <w:rsid w:val="00A3499D"/>
    <w:rsid w:val="00A54AC4"/>
    <w:rsid w:val="00AB1A83"/>
    <w:rsid w:val="00AE1851"/>
    <w:rsid w:val="00B523EE"/>
    <w:rsid w:val="00BD46B1"/>
    <w:rsid w:val="00BE3973"/>
    <w:rsid w:val="00C136F0"/>
    <w:rsid w:val="00C27A93"/>
    <w:rsid w:val="00C627C5"/>
    <w:rsid w:val="00C84140"/>
    <w:rsid w:val="00C94D58"/>
    <w:rsid w:val="00CA1237"/>
    <w:rsid w:val="00CB49BB"/>
    <w:rsid w:val="00D25F21"/>
    <w:rsid w:val="00D75797"/>
    <w:rsid w:val="00D810D0"/>
    <w:rsid w:val="00DC3C52"/>
    <w:rsid w:val="00DE5F11"/>
    <w:rsid w:val="00EB4BFD"/>
    <w:rsid w:val="00EE292A"/>
    <w:rsid w:val="00F47F81"/>
    <w:rsid w:val="00F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F393"/>
  <w15:chartTrackingRefBased/>
  <w15:docId w15:val="{CB4EBD3E-A53B-4F66-BBB6-97AABB7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6A7"/>
  </w:style>
  <w:style w:type="paragraph" w:styleId="Footer">
    <w:name w:val="footer"/>
    <w:basedOn w:val="Normal"/>
    <w:link w:val="FooterChar"/>
    <w:uiPriority w:val="99"/>
    <w:unhideWhenUsed/>
    <w:rsid w:val="003F7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6A7"/>
  </w:style>
  <w:style w:type="character" w:styleId="Hyperlink">
    <w:name w:val="Hyperlink"/>
    <w:basedOn w:val="DefaultParagraphFont"/>
    <w:uiPriority w:val="99"/>
    <w:unhideWhenUsed/>
    <w:rsid w:val="00EE2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9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3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istotle2digital.blogwyrm.com/?p=14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44</cp:revision>
  <dcterms:created xsi:type="dcterms:W3CDTF">2022-06-20T17:31:00Z</dcterms:created>
  <dcterms:modified xsi:type="dcterms:W3CDTF">2022-06-20T20:33:00Z</dcterms:modified>
</cp:coreProperties>
</file>