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2A36" w14:textId="0E759D12" w:rsidR="00475FA8" w:rsidRDefault="00714579">
      <w:r>
        <w:t xml:space="preserve">Most everyone knows what the term </w:t>
      </w:r>
      <w:r w:rsidR="00392764">
        <w:t>‘</w:t>
      </w:r>
      <w:r>
        <w:t>illiteracy</w:t>
      </w:r>
      <w:r w:rsidR="00392764">
        <w:t>’</w:t>
      </w:r>
      <w:r>
        <w:t xml:space="preserve"> means, even those who can’t read</w:t>
      </w:r>
      <w:r w:rsidR="00392764">
        <w:t xml:space="preserve"> and t</w:t>
      </w:r>
      <w:r>
        <w:t xml:space="preserve">he shame of illiteracy is so great that people often go to great lengths to hide the fact that they can’t read  – a feat best pulled off by the functionally illiterate </w:t>
      </w:r>
      <w:r w:rsidR="000218CE">
        <w:t xml:space="preserve">(consider the made-for-TV movie </w:t>
      </w:r>
      <w:hyperlink r:id="rId5" w:history="1">
        <w:r w:rsidR="000218CE" w:rsidRPr="000218CE">
          <w:rPr>
            <w:rStyle w:val="Hyperlink"/>
          </w:rPr>
          <w:t>Bluffing It</w:t>
        </w:r>
      </w:hyperlink>
      <w:r w:rsidR="000218CE">
        <w:t xml:space="preserve"> starring Dennis Weaver).</w:t>
      </w:r>
      <w:r w:rsidR="00562432">
        <w:t xml:space="preserve">  The city of Baltimore even went to great lengths in the late 19</w:t>
      </w:r>
      <w:r w:rsidR="00063BD8">
        <w:t xml:space="preserve">80s and into the 1990s to declare itself ‘the city that reads’ since </w:t>
      </w:r>
      <w:hyperlink r:id="rId6" w:history="1">
        <w:r w:rsidR="00063BD8" w:rsidRPr="00F13DD3">
          <w:rPr>
            <w:rStyle w:val="Hyperlink"/>
          </w:rPr>
          <w:t>alarmingly large number of the citizens were functionally illiterate</w:t>
        </w:r>
      </w:hyperlink>
      <w:r w:rsidR="00063BD8">
        <w:t>.</w:t>
      </w:r>
    </w:p>
    <w:p w14:paraId="7BEBF37A" w14:textId="2564C63B" w:rsidR="001F7DFE" w:rsidRDefault="00DF1EA1">
      <w:r>
        <w:t xml:space="preserve">A smaller class of </w:t>
      </w:r>
      <w:r w:rsidR="00CE33F9">
        <w:t>people feel shame at being i</w:t>
      </w:r>
      <w:r w:rsidR="001F7DFE">
        <w:t>llogical</w:t>
      </w:r>
      <w:r w:rsidR="00030253">
        <w:t>.  I</w:t>
      </w:r>
      <w:r w:rsidR="00E25247">
        <w:t xml:space="preserve">n certain quarters, a lack of self-reflection and internal consistency </w:t>
      </w:r>
      <w:r w:rsidR="00B764EB">
        <w:t>in</w:t>
      </w:r>
      <w:r>
        <w:t xml:space="preserve"> how</w:t>
      </w:r>
      <w:r w:rsidR="00B764EB">
        <w:t xml:space="preserve"> one argues </w:t>
      </w:r>
      <w:r w:rsidR="00E25247">
        <w:t xml:space="preserve">is often excused by </w:t>
      </w:r>
      <w:r w:rsidR="00D8560B">
        <w:t xml:space="preserve">appealing to feelings.  “I’m passionate about it” or “it doesn't feel right” are common enough excuses used to </w:t>
      </w:r>
      <w:r w:rsidR="00552609">
        <w:t>exempt</w:t>
      </w:r>
      <w:r>
        <w:t xml:space="preserve"> </w:t>
      </w:r>
      <w:r w:rsidR="00B764EB">
        <w:t xml:space="preserve">the arguer </w:t>
      </w:r>
      <w:r w:rsidR="00552609">
        <w:t>from the burden of rationality and accountability.</w:t>
      </w:r>
    </w:p>
    <w:p w14:paraId="0AE2B430" w14:textId="6358F645" w:rsidR="000218CE" w:rsidRDefault="00F66829" w:rsidP="00B224DE">
      <w:r>
        <w:t>B</w:t>
      </w:r>
      <w:r w:rsidR="00552609">
        <w:t xml:space="preserve">y the time we get to </w:t>
      </w:r>
      <w:hyperlink r:id="rId7" w:history="1">
        <w:r w:rsidR="00552609" w:rsidRPr="007206F6">
          <w:rPr>
            <w:rStyle w:val="Hyperlink"/>
          </w:rPr>
          <w:t>innumeracy</w:t>
        </w:r>
      </w:hyperlink>
      <w:r w:rsidR="00B764EB">
        <w:t xml:space="preserve">, </w:t>
      </w:r>
      <w:r w:rsidR="00AD47F0">
        <w:t xml:space="preserve">the shame has </w:t>
      </w:r>
      <w:r w:rsidR="001F05B0">
        <w:t xml:space="preserve">all but </w:t>
      </w:r>
      <w:r w:rsidR="00AD47F0">
        <w:t xml:space="preserve">vanished, </w:t>
      </w:r>
      <w:r w:rsidR="00552609">
        <w:t xml:space="preserve">all </w:t>
      </w:r>
      <w:r w:rsidR="0028431C">
        <w:t xml:space="preserve">pretense to having to excuse oneself </w:t>
      </w:r>
      <w:r w:rsidR="00DD2643">
        <w:t>for a lack of a vital societal skill</w:t>
      </w:r>
      <w:r w:rsidR="00387076">
        <w:t xml:space="preserve"> has </w:t>
      </w:r>
      <w:r w:rsidR="0028431C">
        <w:t>dropped away</w:t>
      </w:r>
      <w:r w:rsidR="00387076">
        <w:t>,</w:t>
      </w:r>
      <w:r w:rsidR="001F05B0">
        <w:t xml:space="preserve"> and in its place is </w:t>
      </w:r>
      <w:r w:rsidR="00F47F08">
        <w:t>a particular pride in this particular brand of ignorance.</w:t>
      </w:r>
      <w:r w:rsidR="001F05B0">
        <w:t xml:space="preserve">  The </w:t>
      </w:r>
      <w:r w:rsidR="004F1DA2">
        <w:t>inability to deal with mathematics and</w:t>
      </w:r>
      <w:r w:rsidR="00E20D08">
        <w:t>, especially, large numbers is seen as a badge of honor.</w:t>
      </w:r>
    </w:p>
    <w:p w14:paraId="0C68497B" w14:textId="30682C11" w:rsidR="00BD6CB5" w:rsidRDefault="00F66829" w:rsidP="00B224DE">
      <w:r>
        <w:t xml:space="preserve">But the proverbial </w:t>
      </w:r>
      <w:r w:rsidR="00297DC7">
        <w:t>three monkeys of ‘see’, ‘hear’, and ‘speak’ no evil</w:t>
      </w:r>
      <w:r>
        <w:t xml:space="preserve"> have nothing on the alarming </w:t>
      </w:r>
      <w:r w:rsidR="006A3251">
        <w:t>mix of the above three styles of ignorance</w:t>
      </w:r>
      <w:r w:rsidR="00DA6ABF">
        <w:t xml:space="preserve"> to form the alarming way in which </w:t>
      </w:r>
      <w:r w:rsidR="00BD6CB5">
        <w:t xml:space="preserve">modern citizens </w:t>
      </w:r>
      <w:r w:rsidR="00DA6ABF">
        <w:t>consumes matter</w:t>
      </w:r>
      <w:r w:rsidR="00BD6CB5">
        <w:t>s</w:t>
      </w:r>
      <w:r w:rsidR="00DA6ABF">
        <w:t xml:space="preserve"> economic.</w:t>
      </w:r>
      <w:r w:rsidR="00772C28">
        <w:t xml:space="preserve">  For the purposes of this article, I’ll call th</w:t>
      </w:r>
      <w:r w:rsidR="00652BED">
        <w:t xml:space="preserve">is tripart, lethal cocktail of ignorance </w:t>
      </w:r>
      <w:r w:rsidR="000C2083">
        <w:t>rampant economic ignorance (REI</w:t>
      </w:r>
      <w:r w:rsidR="00AB7B02">
        <w:t>).</w:t>
      </w:r>
    </w:p>
    <w:p w14:paraId="3400EEFB" w14:textId="15129831" w:rsidR="001B5164" w:rsidRDefault="00AB5833" w:rsidP="00B224DE">
      <w:r>
        <w:t xml:space="preserve">Case in point, the </w:t>
      </w:r>
      <w:r w:rsidR="00171B70">
        <w:t xml:space="preserve">widespread </w:t>
      </w:r>
      <w:r w:rsidR="001B5164">
        <w:t>claims that the oil companies are price-gouging.</w:t>
      </w:r>
    </w:p>
    <w:p w14:paraId="0CB7E03A" w14:textId="2039ED61" w:rsidR="00E20D08" w:rsidRDefault="00AE057C" w:rsidP="00B224DE">
      <w:r>
        <w:t xml:space="preserve">To be clear, I am not </w:t>
      </w:r>
      <w:r w:rsidR="00413A48">
        <w:t xml:space="preserve">definitively </w:t>
      </w:r>
      <w:r>
        <w:t xml:space="preserve">claiming that the oil companies are not </w:t>
      </w:r>
      <w:r w:rsidR="007924D9">
        <w:t>price-gouging</w:t>
      </w:r>
      <w:r w:rsidR="00337CF3">
        <w:t xml:space="preserve"> </w:t>
      </w:r>
      <w:r w:rsidR="007924D9">
        <w:t>but I strongly doubt it for the simple reason that</w:t>
      </w:r>
      <w:r w:rsidR="00ED063A">
        <w:t xml:space="preserve"> I can’t then explain what they were doing when prices were low.</w:t>
      </w:r>
      <w:r w:rsidR="0096072F">
        <w:t xml:space="preserve">  What I am claim</w:t>
      </w:r>
      <w:r w:rsidR="001800B4">
        <w:t xml:space="preserve">ing, </w:t>
      </w:r>
      <w:r w:rsidR="0096072F">
        <w:t>with dispositive evidence</w:t>
      </w:r>
      <w:r w:rsidR="001800B4">
        <w:t>,</w:t>
      </w:r>
      <w:r w:rsidR="0096072F">
        <w:t xml:space="preserve"> is that the average person who holds that position is indulging in </w:t>
      </w:r>
      <w:r w:rsidR="002048BB">
        <w:t xml:space="preserve">merry mix of </w:t>
      </w:r>
      <w:r w:rsidR="003B27A4">
        <w:t xml:space="preserve">innumeracy and </w:t>
      </w:r>
      <w:r w:rsidR="002048BB">
        <w:t>illogical thinking</w:t>
      </w:r>
      <w:r w:rsidR="003B27A4">
        <w:t xml:space="preserve"> with a dash of </w:t>
      </w:r>
      <w:r w:rsidR="002048BB">
        <w:t>functional illiteracy</w:t>
      </w:r>
      <w:r w:rsidR="00D273C6">
        <w:t xml:space="preserve"> thrown in</w:t>
      </w:r>
      <w:r w:rsidR="00746A7B">
        <w:t xml:space="preserve"> </w:t>
      </w:r>
      <w:r w:rsidR="00D273C6">
        <w:t>to spice things up.  I</w:t>
      </w:r>
      <w:r w:rsidR="00EA33A9">
        <w:t>n</w:t>
      </w:r>
      <w:r w:rsidR="00D273C6">
        <w:t xml:space="preserve"> what follows, </w:t>
      </w:r>
      <w:r w:rsidR="001B5164">
        <w:t xml:space="preserve">I’ll go through some of the evidence offered </w:t>
      </w:r>
      <w:r>
        <w:t>(there is simply too much to be comprehensive) and point-out</w:t>
      </w:r>
      <w:r w:rsidR="00D273C6">
        <w:t xml:space="preserve"> </w:t>
      </w:r>
      <w:r w:rsidR="00EA33A9">
        <w:t xml:space="preserve">those </w:t>
      </w:r>
      <w:r w:rsidR="00746A7B">
        <w:t>items that caught my eye.</w:t>
      </w:r>
    </w:p>
    <w:p w14:paraId="07543F31" w14:textId="6F7738C4" w:rsidR="008E02D6" w:rsidRDefault="00BD36F8" w:rsidP="008F177B">
      <w:r>
        <w:t xml:space="preserve">Let’s start with </w:t>
      </w:r>
      <w:r w:rsidR="00772C28">
        <w:t xml:space="preserve">the </w:t>
      </w:r>
      <w:r>
        <w:t xml:space="preserve"> </w:t>
      </w:r>
      <w:r w:rsidR="00C73EC5">
        <w:t>REI</w:t>
      </w:r>
      <w:r>
        <w:t xml:space="preserve"> </w:t>
      </w:r>
      <w:r w:rsidR="00DD2669">
        <w:t xml:space="preserve">on display in </w:t>
      </w:r>
      <w:proofErr w:type="spellStart"/>
      <w:r w:rsidR="0022614B">
        <w:t>Politifact</w:t>
      </w:r>
      <w:r w:rsidR="00524A90">
        <w:t>’s</w:t>
      </w:r>
      <w:proofErr w:type="spellEnd"/>
      <w:r w:rsidR="00524A90">
        <w:t xml:space="preserve"> </w:t>
      </w:r>
      <w:r w:rsidR="00A32168">
        <w:t xml:space="preserve">article entitled (as far as one can tell) </w:t>
      </w:r>
      <w:hyperlink r:id="rId8" w:history="1">
        <w:r w:rsidR="00A32168" w:rsidRPr="00671A19">
          <w:rPr>
            <w:rStyle w:val="Hyperlink"/>
            <w:i/>
            <w:iCs/>
          </w:rPr>
          <w:t>Yes, oil companies are reporting reco</w:t>
        </w:r>
        <w:r w:rsidR="00A32168" w:rsidRPr="00671A19">
          <w:rPr>
            <w:rStyle w:val="Hyperlink"/>
            <w:i/>
            <w:iCs/>
          </w:rPr>
          <w:t>r</w:t>
        </w:r>
        <w:r w:rsidR="00A32168" w:rsidRPr="00671A19">
          <w:rPr>
            <w:rStyle w:val="Hyperlink"/>
            <w:i/>
            <w:iCs/>
          </w:rPr>
          <w:t>d breaking profits. But it follows pandemic-fueled losses</w:t>
        </w:r>
      </w:hyperlink>
      <w:r w:rsidR="00DD2669">
        <w:rPr>
          <w:i/>
          <w:iCs/>
        </w:rPr>
        <w:t>.</w:t>
      </w:r>
      <w:r w:rsidR="00DD2669">
        <w:t xml:space="preserve">  In this article, author </w:t>
      </w:r>
      <w:r w:rsidR="00181448">
        <w:t xml:space="preserve">Andy Nguyen attempts to ‘fact-check’ a </w:t>
      </w:r>
      <w:proofErr w:type="spellStart"/>
      <w:r w:rsidR="00181448">
        <w:t>facebook</w:t>
      </w:r>
      <w:proofErr w:type="spellEnd"/>
      <w:r w:rsidR="00181448">
        <w:t xml:space="preserve"> post that reads </w:t>
      </w:r>
    </w:p>
    <w:p w14:paraId="5054D6A9" w14:textId="356CD26A" w:rsidR="008F177B" w:rsidRDefault="008E02D6" w:rsidP="008F177B">
      <w:r>
        <w:t>**</w:t>
      </w:r>
      <w:r w:rsidR="001C7F7B" w:rsidRPr="001C7F7B">
        <w:t>Gas prices are rising at their fastest pace ever, and have topped $4 for the first time since 2008</w:t>
      </w:r>
      <w:r w:rsidR="00A66DA6">
        <w:t xml:space="preserve">. </w:t>
      </w:r>
      <w:r w:rsidR="001C7F7B" w:rsidRPr="001C7F7B">
        <w:t>America gets 1% of its oil from Russia, while Exxon, Chevron, BP and Shell profits are at their highest level in over 7 years.</w:t>
      </w:r>
      <w:r w:rsidR="00A66DA6">
        <w:t xml:space="preserve"> - </w:t>
      </w:r>
      <w:r w:rsidR="00665386" w:rsidRPr="00665386">
        <w:t>Dan Price, the CEO</w:t>
      </w:r>
      <w:r w:rsidR="00FE1934">
        <w:t xml:space="preserve"> Gravity</w:t>
      </w:r>
      <w:r w:rsidR="00802E2A">
        <w:t xml:space="preserve"> Payments</w:t>
      </w:r>
      <w:r>
        <w:t>**</w:t>
      </w:r>
    </w:p>
    <w:p w14:paraId="660F80A1" w14:textId="03A233FC" w:rsidR="00337CF3" w:rsidRDefault="00BA5050" w:rsidP="008F177B">
      <w:r>
        <w:t>To start</w:t>
      </w:r>
      <w:r w:rsidR="00504708">
        <w:t xml:space="preserve">, </w:t>
      </w:r>
      <w:r w:rsidR="00152921">
        <w:t xml:space="preserve">Nguyen </w:t>
      </w:r>
      <w:r w:rsidR="00F81EF8">
        <w:t>only mentions in passing that</w:t>
      </w:r>
      <w:r w:rsidR="00A36506">
        <w:t xml:space="preserve"> Dan Price was the </w:t>
      </w:r>
      <w:r w:rsidR="004F0256">
        <w:t>CE</w:t>
      </w:r>
      <w:r w:rsidR="00CD54C6">
        <w:t>O</w:t>
      </w:r>
      <w:r w:rsidR="004F0256">
        <w:t xml:space="preserve"> of a company </w:t>
      </w:r>
      <w:r w:rsidR="00A36506">
        <w:t>“</w:t>
      </w:r>
      <w:r w:rsidR="00A36506" w:rsidRPr="00A36506">
        <w:t>that made headlines in 2015 when it raised minimum salaries for employees to $70,000</w:t>
      </w:r>
      <w:r w:rsidR="00A36506">
        <w:t>”</w:t>
      </w:r>
      <w:r w:rsidR="004F0256">
        <w:t xml:space="preserve"> but doesn’t </w:t>
      </w:r>
      <w:r w:rsidR="00214EC8">
        <w:t xml:space="preserve">discuss that Price is likely a less-than-honest authority on </w:t>
      </w:r>
      <w:r w:rsidR="00B110AA">
        <w:t xml:space="preserve">any aspect of </w:t>
      </w:r>
      <w:r w:rsidR="00214EC8">
        <w:t>the economy</w:t>
      </w:r>
      <w:r w:rsidR="00A332B8">
        <w:t xml:space="preserve"> base on the m</w:t>
      </w:r>
      <w:r w:rsidR="004F0256">
        <w:t xml:space="preserve">any </w:t>
      </w:r>
      <w:r w:rsidR="00A332B8">
        <w:t xml:space="preserve">criticisms heap on this ‘headline event’ of 2015 (see </w:t>
      </w:r>
      <w:hyperlink r:id="rId9" w:history="1">
        <w:r w:rsidRPr="00BA5050">
          <w:rPr>
            <w:rStyle w:val="Hyperlink"/>
            <w:i/>
            <w:iCs/>
          </w:rPr>
          <w:t>The Gravity of a Minimum Wage</w:t>
        </w:r>
      </w:hyperlink>
      <w:r>
        <w:t xml:space="preserve"> for a summary).</w:t>
      </w:r>
    </w:p>
    <w:p w14:paraId="570BD804" w14:textId="77777777" w:rsidR="00B92108" w:rsidRDefault="008B575A" w:rsidP="008F177B">
      <w:r>
        <w:t xml:space="preserve">Nguyen this proceeds to provide a serviceable but somewhat disjointed </w:t>
      </w:r>
      <w:r w:rsidR="005049C7">
        <w:t xml:space="preserve">context in which to place </w:t>
      </w:r>
      <w:r w:rsidR="00EA6B6B">
        <w:t xml:space="preserve">the rise in </w:t>
      </w:r>
      <w:r w:rsidR="005049C7">
        <w:t>gas prices.</w:t>
      </w:r>
      <w:r w:rsidR="00D27BC6">
        <w:t xml:space="preserve">  Somewhat annoyingly, he fails to provide the following graph </w:t>
      </w:r>
    </w:p>
    <w:p w14:paraId="2C8C7106" w14:textId="6FC5A6F0" w:rsidR="00B92108" w:rsidRDefault="00B92108" w:rsidP="00B92108">
      <w:pPr>
        <w:jc w:val="center"/>
      </w:pPr>
      <w:r>
        <w:rPr>
          <w:noProof/>
        </w:rPr>
        <w:lastRenderedPageBreak/>
        <w:drawing>
          <wp:inline distT="0" distB="0" distL="0" distR="0" wp14:anchorId="0CA236DB" wp14:editId="31D334A5">
            <wp:extent cx="3874601" cy="2856690"/>
            <wp:effectExtent l="0" t="0" r="0" b="127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23" cy="287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C300" w14:textId="4E51E24D" w:rsidR="00B92108" w:rsidRDefault="00B92108" w:rsidP="008F177B">
      <w:r>
        <w:t xml:space="preserve">the original of which can be found </w:t>
      </w:r>
      <w:hyperlink r:id="rId11" w:history="1">
        <w:r w:rsidRPr="008A52AB">
          <w:rPr>
            <w:rStyle w:val="Hyperlink"/>
          </w:rPr>
          <w:t>here</w:t>
        </w:r>
      </w:hyperlink>
      <w:r>
        <w:t>.</w:t>
      </w:r>
      <w:r w:rsidR="005C1DA6">
        <w:t xml:space="preserve">  </w:t>
      </w:r>
      <w:r w:rsidR="00164DFE">
        <w:t xml:space="preserve">While this graph is far from perfect, it does demonstrate that gas prices </w:t>
      </w:r>
      <w:r w:rsidR="00F2674C">
        <w:t>were rising significantly over calendar year 2021 (</w:t>
      </w:r>
      <w:r w:rsidR="002B387B">
        <w:t xml:space="preserve">year-to-year increase from approximately $2.25/gallon to </w:t>
      </w:r>
      <w:r w:rsidR="00A5627A">
        <w:t>$3.35/gallon</w:t>
      </w:r>
      <w:r w:rsidR="009362A4">
        <w:t xml:space="preserve">) at an </w:t>
      </w:r>
      <w:r w:rsidR="00A5627A">
        <w:t xml:space="preserve">average increase of </w:t>
      </w:r>
      <w:r w:rsidR="005C4000">
        <w:t>about 9.2</w:t>
      </w:r>
      <w:r w:rsidR="00627CE9">
        <w:t xml:space="preserve"> cents/gallon/month</w:t>
      </w:r>
      <w:r w:rsidR="009362A4">
        <w:t xml:space="preserve"> compared with the</w:t>
      </w:r>
      <w:r w:rsidR="0094539C">
        <w:t xml:space="preserve"> 35.5</w:t>
      </w:r>
      <w:r w:rsidR="009362A4">
        <w:t xml:space="preserve"> </w:t>
      </w:r>
      <w:r w:rsidR="0094539C">
        <w:t xml:space="preserve">cents/gallon/month increase in 2022.  </w:t>
      </w:r>
      <w:r w:rsidR="00FE3202">
        <w:t>The lack of analysis here speaks of innumeracy.</w:t>
      </w:r>
    </w:p>
    <w:p w14:paraId="199E07FD" w14:textId="77777777" w:rsidR="00FB1BB1" w:rsidRDefault="000412D9" w:rsidP="008F177B">
      <w:r>
        <w:t xml:space="preserve">Next Nguyen </w:t>
      </w:r>
      <w:r w:rsidR="00E34592">
        <w:t xml:space="preserve">fact checks Prices assertion that </w:t>
      </w:r>
      <w:r w:rsidR="00250DF2">
        <w:t>the US only receives 1% of its oil from Russia and finds that assertion wanting</w:t>
      </w:r>
      <w:r w:rsidR="00707F06">
        <w:t xml:space="preserve"> in that the number is a factor of 3 lower than the truth.  To this correction I say so what.  </w:t>
      </w:r>
      <w:r w:rsidR="0075504E">
        <w:t xml:space="preserve">Without proper context it is impossible to tell whether a 1% or 3% (whichever it may actually be) </w:t>
      </w:r>
      <w:r w:rsidR="00E5014A">
        <w:t>drop in quantity supplied</w:t>
      </w:r>
      <w:r w:rsidR="00FB1BB1">
        <w:t xml:space="preserve"> is significant.  What is needed is the elasticity of the crude oil market – a fact seemingly ignored.  Chalk one up for illogical discourse.</w:t>
      </w:r>
    </w:p>
    <w:p w14:paraId="6C4DBD8E" w14:textId="05DD97F5" w:rsidR="00B92108" w:rsidRDefault="00FB1BB1" w:rsidP="008F177B">
      <w:r>
        <w:t xml:space="preserve">Finally, we get to </w:t>
      </w:r>
      <w:r w:rsidR="009A55C2">
        <w:t xml:space="preserve">an analysis </w:t>
      </w:r>
      <w:r w:rsidR="00780D97">
        <w:t xml:space="preserve">record </w:t>
      </w:r>
      <w:r w:rsidR="009A55C2">
        <w:t xml:space="preserve">profits for the </w:t>
      </w:r>
      <w:r w:rsidR="00780D97">
        <w:t>oil compan</w:t>
      </w:r>
      <w:r w:rsidR="009A55C2">
        <w:t>ies</w:t>
      </w:r>
      <w:r w:rsidR="00780D97">
        <w:t>.  However</w:t>
      </w:r>
      <w:r w:rsidR="009A55C2">
        <w:t xml:space="preserve">, there is no way to make an apples-to-apples comparison.  </w:t>
      </w:r>
      <w:r w:rsidR="00545AA0">
        <w:t>Consider the constantly shifting ways in which the ‘</w:t>
      </w:r>
      <w:proofErr w:type="spellStart"/>
      <w:r w:rsidR="00545AA0">
        <w:t>profitiability</w:t>
      </w:r>
      <w:proofErr w:type="spellEnd"/>
      <w:r w:rsidR="00545AA0">
        <w:t>’ of the big four oil companies of BP, Chevron, Exxon, and Shell are described:</w:t>
      </w:r>
    </w:p>
    <w:p w14:paraId="0F26CF2D" w14:textId="1CC0C88C" w:rsidR="0022614B" w:rsidRDefault="008F177B" w:rsidP="008F177B">
      <w:pPr>
        <w:pStyle w:val="ListParagraph"/>
        <w:numPr>
          <w:ilvl w:val="0"/>
          <w:numId w:val="1"/>
        </w:numPr>
      </w:pPr>
      <w:r>
        <w:t xml:space="preserve">Exxon Mobil </w:t>
      </w:r>
      <w:r w:rsidRPr="0022614B">
        <w:rPr>
          <w:b/>
          <w:bCs/>
          <w:i/>
          <w:iCs/>
        </w:rPr>
        <w:t>made</w:t>
      </w:r>
      <w:r>
        <w:t xml:space="preserve"> $23 billion in </w:t>
      </w:r>
      <w:r w:rsidRPr="0022614B">
        <w:rPr>
          <w:b/>
          <w:bCs/>
          <w:i/>
          <w:iCs/>
        </w:rPr>
        <w:t>profit</w:t>
      </w:r>
      <w:r>
        <w:t xml:space="preserve"> for 2021 </w:t>
      </w:r>
    </w:p>
    <w:p w14:paraId="02FAAC6D" w14:textId="162982CF" w:rsidR="0022614B" w:rsidRDefault="008F177B" w:rsidP="008F177B">
      <w:pPr>
        <w:pStyle w:val="ListParagraph"/>
        <w:numPr>
          <w:ilvl w:val="0"/>
          <w:numId w:val="1"/>
        </w:numPr>
      </w:pPr>
      <w:r>
        <w:t>Chevron</w:t>
      </w:r>
      <w:r w:rsidR="0022614B">
        <w:t>…</w:t>
      </w:r>
      <w:r>
        <w:t xml:space="preserve"> reporting in January that it </w:t>
      </w:r>
      <w:r w:rsidRPr="0022614B">
        <w:rPr>
          <w:b/>
          <w:bCs/>
          <w:i/>
          <w:iCs/>
        </w:rPr>
        <w:t>made</w:t>
      </w:r>
      <w:r>
        <w:t xml:space="preserve"> $15.6 billion in </w:t>
      </w:r>
      <w:r w:rsidRPr="0022614B">
        <w:rPr>
          <w:b/>
          <w:bCs/>
          <w:i/>
          <w:iCs/>
        </w:rPr>
        <w:t>revenue</w:t>
      </w:r>
      <w:r>
        <w:t xml:space="preserve"> for 2021</w:t>
      </w:r>
      <w:r w:rsidR="00DC3DB7">
        <w:t>…</w:t>
      </w:r>
    </w:p>
    <w:p w14:paraId="2AC9E669" w14:textId="77777777" w:rsidR="0022614B" w:rsidRDefault="008F177B" w:rsidP="008F177B">
      <w:pPr>
        <w:pStyle w:val="ListParagraph"/>
        <w:numPr>
          <w:ilvl w:val="0"/>
          <w:numId w:val="1"/>
        </w:numPr>
      </w:pPr>
      <w:r>
        <w:t xml:space="preserve">BP reported it </w:t>
      </w:r>
      <w:r w:rsidRPr="0022614B">
        <w:rPr>
          <w:b/>
          <w:bCs/>
          <w:i/>
          <w:iCs/>
        </w:rPr>
        <w:t>made</w:t>
      </w:r>
      <w:r>
        <w:t xml:space="preserve"> $12.85 billion in 2021</w:t>
      </w:r>
      <w:r w:rsidR="00DC3DB7">
        <w:t>…</w:t>
      </w:r>
    </w:p>
    <w:p w14:paraId="6BF41925" w14:textId="664178B7" w:rsidR="00240D2B" w:rsidRDefault="008F177B" w:rsidP="00240D2B">
      <w:pPr>
        <w:pStyle w:val="ListParagraph"/>
        <w:numPr>
          <w:ilvl w:val="0"/>
          <w:numId w:val="1"/>
        </w:numPr>
      </w:pPr>
      <w:r>
        <w:t xml:space="preserve">Shell </w:t>
      </w:r>
      <w:r w:rsidRPr="00524A90">
        <w:rPr>
          <w:b/>
          <w:bCs/>
          <w:i/>
          <w:iCs/>
        </w:rPr>
        <w:t>made</w:t>
      </w:r>
      <w:r>
        <w:t xml:space="preserve"> significant profits in 2021, </w:t>
      </w:r>
      <w:r w:rsidRPr="00524A90">
        <w:rPr>
          <w:b/>
          <w:bCs/>
          <w:i/>
          <w:iCs/>
        </w:rPr>
        <w:t>earning</w:t>
      </w:r>
      <w:r>
        <w:t xml:space="preserve"> $19.29 billion for the year</w:t>
      </w:r>
      <w:r w:rsidR="00DC3DB7">
        <w:t>…</w:t>
      </w:r>
    </w:p>
    <w:p w14:paraId="1C204A50" w14:textId="46D4A4A1" w:rsidR="007457BC" w:rsidRDefault="007457BC" w:rsidP="007457BC">
      <w:r>
        <w:t xml:space="preserve">Anyone who has ever bothered to take the time to read a company financial disclosure form would </w:t>
      </w:r>
      <w:r w:rsidR="00F86EC2">
        <w:t xml:space="preserve">know that </w:t>
      </w:r>
      <w:r w:rsidR="00F06EC8">
        <w:t>‘</w:t>
      </w:r>
      <w:r w:rsidR="00F86EC2">
        <w:t>revenue</w:t>
      </w:r>
      <w:r w:rsidR="00F06EC8">
        <w:t>’</w:t>
      </w:r>
      <w:r w:rsidR="00F86EC2">
        <w:t xml:space="preserve"> </w:t>
      </w:r>
      <w:r w:rsidR="00F06EC8">
        <w:t>is a well-defined term that may, or may not, mean the same as the vague term</w:t>
      </w:r>
      <w:r w:rsidR="00F86EC2">
        <w:t xml:space="preserve"> </w:t>
      </w:r>
      <w:r w:rsidR="00F06EC8">
        <w:t>‘</w:t>
      </w:r>
      <w:r w:rsidR="00F86EC2">
        <w:t>earnings</w:t>
      </w:r>
      <w:r w:rsidR="00F06EC8">
        <w:t>’</w:t>
      </w:r>
      <w:r w:rsidR="00F86EC2">
        <w:t xml:space="preserve"> </w:t>
      </w:r>
      <w:r w:rsidR="00F06EC8">
        <w:t>and that neither is ‘</w:t>
      </w:r>
      <w:r w:rsidR="00F86EC2">
        <w:t>profit</w:t>
      </w:r>
      <w:r w:rsidR="00F06EC8">
        <w:t xml:space="preserve">’ and that there are many possible meanings for ‘profit’.  And let’s not even speak about how the </w:t>
      </w:r>
      <w:r w:rsidR="00F86EC2">
        <w:t xml:space="preserve">word ‘made’ is totally ambiguous.  Score </w:t>
      </w:r>
      <w:r w:rsidR="00F06EC8">
        <w:t>several for illiteracy.</w:t>
      </w:r>
    </w:p>
    <w:p w14:paraId="6893765F" w14:textId="6124FE3C" w:rsidR="00F06EC8" w:rsidRDefault="008A20D9" w:rsidP="007457BC">
      <w:r>
        <w:t xml:space="preserve">Since </w:t>
      </w:r>
      <w:r w:rsidR="003101F5">
        <w:t>most people are complaining about profit, I looked at t</w:t>
      </w:r>
      <w:r w:rsidR="00441960">
        <w:t>wo possible definitions</w:t>
      </w:r>
      <w:r w:rsidR="000A0728">
        <w:t xml:space="preserve">: 1) gross profit and 2) net </w:t>
      </w:r>
      <w:r w:rsidR="00856314">
        <w:t xml:space="preserve">income common stockholder.  </w:t>
      </w:r>
      <w:r>
        <w:t xml:space="preserve"> I tabulated </w:t>
      </w:r>
      <w:r w:rsidR="00856314">
        <w:t>these data for calendar years 2018</w:t>
      </w:r>
      <w:r w:rsidR="005D2A79">
        <w:t>-2021 (</w:t>
      </w:r>
      <w:r w:rsidR="00454B3A">
        <w:t xml:space="preserve">the </w:t>
      </w:r>
      <w:r w:rsidR="00BF12CF">
        <w:t>year</w:t>
      </w:r>
      <w:r w:rsidR="00454B3A">
        <w:t xml:space="preserve">s in which the money was earned and not in the years </w:t>
      </w:r>
      <w:r w:rsidR="005D2A79">
        <w:t>reported</w:t>
      </w:r>
      <w:r w:rsidR="00454B3A">
        <w:t>)</w:t>
      </w:r>
      <w:r w:rsidR="000C2B53">
        <w:t xml:space="preserve"> from Yahoo Finance (e.g., </w:t>
      </w:r>
      <w:hyperlink r:id="rId12" w:history="1">
        <w:r w:rsidR="000C2B53" w:rsidRPr="0020567D">
          <w:rPr>
            <w:rStyle w:val="Hyperlink"/>
          </w:rPr>
          <w:t>Exxon data</w:t>
        </w:r>
      </w:hyperlink>
      <w:r w:rsidR="0020567D">
        <w:t>)</w:t>
      </w:r>
      <w:r w:rsidR="003C3EA1">
        <w:t xml:space="preserve">, cross-checked with SEC filings available in TD Ameritrade </w:t>
      </w:r>
      <w:r w:rsidR="00BD31A3">
        <w:t>and present both raw data and inflation-</w:t>
      </w:r>
      <w:r w:rsidR="00BD31A3">
        <w:lastRenderedPageBreak/>
        <w:t xml:space="preserve">adjusted data using the </w:t>
      </w:r>
      <w:r w:rsidR="008F2D00">
        <w:t xml:space="preserve">schedule of 1.8%, </w:t>
      </w:r>
      <w:r w:rsidR="002E6385">
        <w:t xml:space="preserve">3.1%, and 7.9% </w:t>
      </w:r>
      <w:r w:rsidR="00DF392C">
        <w:t>to</w:t>
      </w:r>
      <w:r w:rsidR="003B15D9">
        <w:t xml:space="preserve"> express 2020, 2019, and 2018 dollars in 2021 terms based on </w:t>
      </w:r>
      <w:r w:rsidR="00BD31A3">
        <w:t xml:space="preserve">estimates found </w:t>
      </w:r>
      <w:hyperlink r:id="rId13" w:history="1">
        <w:r w:rsidR="00BD31A3" w:rsidRPr="005D59A5">
          <w:rPr>
            <w:rStyle w:val="Hyperlink"/>
          </w:rPr>
          <w:t>here</w:t>
        </w:r>
      </w:hyperlink>
      <w:r w:rsidR="00BD31A3">
        <w:t>.</w:t>
      </w:r>
      <w:r w:rsidR="00704A98">
        <w:t xml:space="preserve">  </w:t>
      </w:r>
    </w:p>
    <w:p w14:paraId="738E8D50" w14:textId="45505B17" w:rsidR="00C14F0B" w:rsidRDefault="00C14F0B" w:rsidP="007457BC">
      <w:r>
        <w:t>For gross profit we have</w:t>
      </w:r>
    </w:p>
    <w:p w14:paraId="7EEA8634" w14:textId="4D753805" w:rsidR="00C14F0B" w:rsidRDefault="00C14F0B" w:rsidP="00C14F0B">
      <w:pPr>
        <w:jc w:val="center"/>
      </w:pPr>
      <w:r>
        <w:rPr>
          <w:noProof/>
        </w:rPr>
        <w:drawing>
          <wp:inline distT="0" distB="0" distL="0" distR="0" wp14:anchorId="24F2EC7D" wp14:editId="3DDCD6B4">
            <wp:extent cx="3025879" cy="3884181"/>
            <wp:effectExtent l="0" t="0" r="3175" b="2540"/>
            <wp:docPr id="4" name="Picture 4" descr="Chart, 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166" cy="390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7CF" w14:textId="260EC98B" w:rsidR="00C14F0B" w:rsidRDefault="00C14F0B" w:rsidP="00C14F0B">
      <w:r>
        <w:t xml:space="preserve">where company is identified by its </w:t>
      </w:r>
      <w:r w:rsidR="00D85A63">
        <w:t xml:space="preserve">ticker symbol (BP = BP, CVX = Chevron, XOM = Exxon, SHEL = Shell).   The numbers in the parentheses represent the market capitalization in </w:t>
      </w:r>
      <w:r w:rsidR="00171BC9">
        <w:t>millions as of 3/18.</w:t>
      </w:r>
      <w:r w:rsidR="00032ACD">
        <w:t xml:space="preserve">  Only Chevron showed an increase in gross profits </w:t>
      </w:r>
      <w:r w:rsidR="007A2F17">
        <w:t xml:space="preserve">and the </w:t>
      </w:r>
      <w:r w:rsidR="00866CA5">
        <w:t>amount</w:t>
      </w:r>
      <w:r w:rsidR="007A2F17">
        <w:t xml:space="preserve"> is extraordinarily hard to see.</w:t>
      </w:r>
    </w:p>
    <w:p w14:paraId="129E4B1F" w14:textId="4157603D" w:rsidR="00171BC9" w:rsidRDefault="00171BC9" w:rsidP="00C14F0B">
      <w:r>
        <w:t xml:space="preserve">Likewise, the plot for net income common stockholder (expressed simply as net income) </w:t>
      </w:r>
    </w:p>
    <w:p w14:paraId="59E8C77D" w14:textId="108252C1" w:rsidR="00191942" w:rsidRDefault="00191942" w:rsidP="00191942">
      <w:pPr>
        <w:jc w:val="center"/>
      </w:pPr>
      <w:r>
        <w:rPr>
          <w:noProof/>
        </w:rPr>
        <w:lastRenderedPageBreak/>
        <w:drawing>
          <wp:inline distT="0" distB="0" distL="0" distR="0" wp14:anchorId="72AD6F6E" wp14:editId="1971F856">
            <wp:extent cx="2955402" cy="3793713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40" cy="38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5E73" w14:textId="036F1D5A" w:rsidR="00191942" w:rsidRDefault="00B532BA" w:rsidP="00191942">
      <w:r>
        <w:t>s</w:t>
      </w:r>
      <w:r w:rsidR="00191942">
        <w:t xml:space="preserve">hows little in the way of </w:t>
      </w:r>
      <w:r>
        <w:t xml:space="preserve">obscene profit-taking.  Only Exxon </w:t>
      </w:r>
      <w:r w:rsidR="008251F5">
        <w:t xml:space="preserve">posted a </w:t>
      </w:r>
      <w:r>
        <w:t xml:space="preserve">marked, but still small, increase in </w:t>
      </w:r>
      <w:r w:rsidR="008251F5">
        <w:t xml:space="preserve">this definition of </w:t>
      </w:r>
      <w:r>
        <w:t>profits.</w:t>
      </w:r>
    </w:p>
    <w:p w14:paraId="0BC96B9E" w14:textId="2F3DF236" w:rsidR="00B60850" w:rsidRDefault="001C4280" w:rsidP="001C4280">
      <w:r>
        <w:t>W</w:t>
      </w:r>
      <w:r w:rsidR="008251F5">
        <w:t xml:space="preserve">here is the pricing gouging in these plots?  Beats me.  Neither of them </w:t>
      </w:r>
      <w:r w:rsidR="00704A98">
        <w:t xml:space="preserve">show little in the way of </w:t>
      </w:r>
      <w:r w:rsidR="00401572">
        <w:t>‘soar</w:t>
      </w:r>
      <w:r w:rsidR="00401572">
        <w:t>ing</w:t>
      </w:r>
      <w:r w:rsidR="00401572">
        <w:t xml:space="preserve">’ </w:t>
      </w:r>
      <w:r w:rsidR="00401572">
        <w:t xml:space="preserve">or </w:t>
      </w:r>
      <w:r w:rsidR="00401572">
        <w:t>‘vastly improved’</w:t>
      </w:r>
      <w:r w:rsidR="00401572">
        <w:t xml:space="preserve"> numbers</w:t>
      </w:r>
      <w:r w:rsidR="008251F5">
        <w:t xml:space="preserve"> </w:t>
      </w:r>
      <w:r>
        <w:t xml:space="preserve">spewed forth by the media.  </w:t>
      </w:r>
    </w:p>
    <w:p w14:paraId="32193BBE" w14:textId="06B66F73" w:rsidR="007B3C7D" w:rsidRDefault="001C4280" w:rsidP="007B3C7D">
      <w:r>
        <w:t xml:space="preserve">So, </w:t>
      </w:r>
      <w:r w:rsidR="00790BD2">
        <w:t xml:space="preserve">how did the </w:t>
      </w:r>
      <w:r w:rsidR="003C55B2">
        <w:t>oil company execs and consumer advocates come to</w:t>
      </w:r>
      <w:r w:rsidR="00790BD2">
        <w:t xml:space="preserve"> both agree on the ‘underlying truth’ of record profits (although each group interprets what that </w:t>
      </w:r>
      <w:r w:rsidR="007D387D">
        <w:t>assertion actually means)?  I think there is ‘</w:t>
      </w:r>
      <w:r w:rsidR="007B3C7D">
        <w:t>Bootleggers and Baptist</w:t>
      </w:r>
      <w:r w:rsidR="007D387D">
        <w:t>s’</w:t>
      </w:r>
      <w:r w:rsidR="007B3C7D">
        <w:t xml:space="preserve"> phenomenon going on here.</w:t>
      </w:r>
      <w:r w:rsidR="007D387D">
        <w:t xml:space="preserve">  Oil execs want to talk profits up so that investors will invest in ‘a bright, industrious company with a shiny future’.  Media pundits and consumer watchdogs want to talk profits up so that the narrative of evil, price-gouging corporations will prompt governmental action.  However, as the data clearly, show, if there are huge profits being made then they are well-hidden indeed.</w:t>
      </w:r>
    </w:p>
    <w:p w14:paraId="2D4741C9" w14:textId="64537FE7" w:rsidR="007D387D" w:rsidRPr="00D17024" w:rsidRDefault="00810720" w:rsidP="007B3C7D">
      <w:r>
        <w:t>As a final thought, one may ask oneself</w:t>
      </w:r>
      <w:r w:rsidR="00F01ACF">
        <w:t xml:space="preserve"> how can we all </w:t>
      </w:r>
      <w:r w:rsidR="00192102">
        <w:t>learn to think through th</w:t>
      </w:r>
      <w:r w:rsidR="009236CD">
        <w:t>ese issues</w:t>
      </w:r>
      <w:r w:rsidR="00192102">
        <w:t xml:space="preserve"> better?  The only way I can see if for all of us to prioritize </w:t>
      </w:r>
      <w:r w:rsidR="00CA1F93">
        <w:t>stamping out REI</w:t>
      </w:r>
      <w:r w:rsidR="004D24E7">
        <w:t>.  Maybe</w:t>
      </w:r>
      <w:r w:rsidR="00CA1F93">
        <w:t xml:space="preserve"> with a campaign</w:t>
      </w:r>
      <w:r w:rsidR="004D24E7">
        <w:t>, perhap</w:t>
      </w:r>
      <w:r w:rsidR="00CA1F93">
        <w:t>s with a slogan like “Thinking economics is fundamental”.</w:t>
      </w:r>
    </w:p>
    <w:sectPr w:rsidR="007D387D" w:rsidRPr="00D1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F2D3E"/>
    <w:multiLevelType w:val="hybridMultilevel"/>
    <w:tmpl w:val="BE46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79"/>
    <w:rsid w:val="000218CE"/>
    <w:rsid w:val="00030253"/>
    <w:rsid w:val="00032ACD"/>
    <w:rsid w:val="000412D9"/>
    <w:rsid w:val="00063BD8"/>
    <w:rsid w:val="000A0728"/>
    <w:rsid w:val="000C2083"/>
    <w:rsid w:val="000C2B53"/>
    <w:rsid w:val="00152921"/>
    <w:rsid w:val="00164DFE"/>
    <w:rsid w:val="00171B70"/>
    <w:rsid w:val="00171BC9"/>
    <w:rsid w:val="001800B4"/>
    <w:rsid w:val="00181448"/>
    <w:rsid w:val="00191942"/>
    <w:rsid w:val="00192102"/>
    <w:rsid w:val="001B5164"/>
    <w:rsid w:val="001C4280"/>
    <w:rsid w:val="001C6F85"/>
    <w:rsid w:val="001C7F7B"/>
    <w:rsid w:val="001F05B0"/>
    <w:rsid w:val="001F7DFE"/>
    <w:rsid w:val="002048BB"/>
    <w:rsid w:val="0020567D"/>
    <w:rsid w:val="00214EC8"/>
    <w:rsid w:val="0022614B"/>
    <w:rsid w:val="00240D2B"/>
    <w:rsid w:val="00240E07"/>
    <w:rsid w:val="00250DF2"/>
    <w:rsid w:val="0028431C"/>
    <w:rsid w:val="00297DC7"/>
    <w:rsid w:val="002B387B"/>
    <w:rsid w:val="002E6385"/>
    <w:rsid w:val="003101F5"/>
    <w:rsid w:val="00337CF3"/>
    <w:rsid w:val="00387076"/>
    <w:rsid w:val="00392764"/>
    <w:rsid w:val="003B15D9"/>
    <w:rsid w:val="003B27A4"/>
    <w:rsid w:val="003C3EA1"/>
    <w:rsid w:val="003C55B2"/>
    <w:rsid w:val="00401572"/>
    <w:rsid w:val="00413A48"/>
    <w:rsid w:val="00441960"/>
    <w:rsid w:val="00454B3A"/>
    <w:rsid w:val="00475FA8"/>
    <w:rsid w:val="004D24E7"/>
    <w:rsid w:val="004F0256"/>
    <w:rsid w:val="004F1DA2"/>
    <w:rsid w:val="00504708"/>
    <w:rsid w:val="005049C7"/>
    <w:rsid w:val="00524A90"/>
    <w:rsid w:val="00545AA0"/>
    <w:rsid w:val="00552609"/>
    <w:rsid w:val="00562432"/>
    <w:rsid w:val="005C1DA6"/>
    <w:rsid w:val="005C4000"/>
    <w:rsid w:val="005D2A79"/>
    <w:rsid w:val="005D59A5"/>
    <w:rsid w:val="0062294D"/>
    <w:rsid w:val="00627CE9"/>
    <w:rsid w:val="00652BED"/>
    <w:rsid w:val="00665386"/>
    <w:rsid w:val="00671A19"/>
    <w:rsid w:val="006856CC"/>
    <w:rsid w:val="006A3251"/>
    <w:rsid w:val="00704A98"/>
    <w:rsid w:val="00707F06"/>
    <w:rsid w:val="00714579"/>
    <w:rsid w:val="007206F6"/>
    <w:rsid w:val="007457BC"/>
    <w:rsid w:val="00746A7B"/>
    <w:rsid w:val="0075504E"/>
    <w:rsid w:val="00772C28"/>
    <w:rsid w:val="00780D97"/>
    <w:rsid w:val="00790BD2"/>
    <w:rsid w:val="007924D9"/>
    <w:rsid w:val="007A2F17"/>
    <w:rsid w:val="007B3C7D"/>
    <w:rsid w:val="007C2994"/>
    <w:rsid w:val="007D387D"/>
    <w:rsid w:val="00802E2A"/>
    <w:rsid w:val="00810720"/>
    <w:rsid w:val="008251F5"/>
    <w:rsid w:val="00856314"/>
    <w:rsid w:val="00866CA5"/>
    <w:rsid w:val="008A20D9"/>
    <w:rsid w:val="008A52AB"/>
    <w:rsid w:val="008B575A"/>
    <w:rsid w:val="008D32D0"/>
    <w:rsid w:val="008E02D6"/>
    <w:rsid w:val="008F177B"/>
    <w:rsid w:val="008F2D00"/>
    <w:rsid w:val="009236CD"/>
    <w:rsid w:val="009313DA"/>
    <w:rsid w:val="009362A4"/>
    <w:rsid w:val="0094539C"/>
    <w:rsid w:val="0096072F"/>
    <w:rsid w:val="009A55C2"/>
    <w:rsid w:val="00A32168"/>
    <w:rsid w:val="00A332B8"/>
    <w:rsid w:val="00A36506"/>
    <w:rsid w:val="00A5627A"/>
    <w:rsid w:val="00A66DA6"/>
    <w:rsid w:val="00AB5833"/>
    <w:rsid w:val="00AB7B02"/>
    <w:rsid w:val="00AD47F0"/>
    <w:rsid w:val="00AE057C"/>
    <w:rsid w:val="00AE5C3B"/>
    <w:rsid w:val="00B110AA"/>
    <w:rsid w:val="00B224DE"/>
    <w:rsid w:val="00B33437"/>
    <w:rsid w:val="00B451D0"/>
    <w:rsid w:val="00B532BA"/>
    <w:rsid w:val="00B60850"/>
    <w:rsid w:val="00B61512"/>
    <w:rsid w:val="00B764EB"/>
    <w:rsid w:val="00B92108"/>
    <w:rsid w:val="00BA5050"/>
    <w:rsid w:val="00BD31A3"/>
    <w:rsid w:val="00BD36F8"/>
    <w:rsid w:val="00BD6CB5"/>
    <w:rsid w:val="00BF12CF"/>
    <w:rsid w:val="00C14F0B"/>
    <w:rsid w:val="00C73EC5"/>
    <w:rsid w:val="00CA1F93"/>
    <w:rsid w:val="00CD0233"/>
    <w:rsid w:val="00CD54C6"/>
    <w:rsid w:val="00CE33F9"/>
    <w:rsid w:val="00D16A4B"/>
    <w:rsid w:val="00D17024"/>
    <w:rsid w:val="00D273C6"/>
    <w:rsid w:val="00D27BC6"/>
    <w:rsid w:val="00D8560B"/>
    <w:rsid w:val="00D85A63"/>
    <w:rsid w:val="00DA6ABF"/>
    <w:rsid w:val="00DB157A"/>
    <w:rsid w:val="00DC3DB7"/>
    <w:rsid w:val="00DD2643"/>
    <w:rsid w:val="00DD2669"/>
    <w:rsid w:val="00DF1EA1"/>
    <w:rsid w:val="00DF392C"/>
    <w:rsid w:val="00E20D08"/>
    <w:rsid w:val="00E25247"/>
    <w:rsid w:val="00E34592"/>
    <w:rsid w:val="00E5014A"/>
    <w:rsid w:val="00EA33A9"/>
    <w:rsid w:val="00EA6B6B"/>
    <w:rsid w:val="00ED063A"/>
    <w:rsid w:val="00F01ACF"/>
    <w:rsid w:val="00F043D6"/>
    <w:rsid w:val="00F06EC8"/>
    <w:rsid w:val="00F13DD3"/>
    <w:rsid w:val="00F2674C"/>
    <w:rsid w:val="00F47F08"/>
    <w:rsid w:val="00F66829"/>
    <w:rsid w:val="00F81EF8"/>
    <w:rsid w:val="00F86EC2"/>
    <w:rsid w:val="00FB1BB1"/>
    <w:rsid w:val="00FB5184"/>
    <w:rsid w:val="00FE1934"/>
    <w:rsid w:val="00FE3202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371A"/>
  <w15:chartTrackingRefBased/>
  <w15:docId w15:val="{BF7B8E9F-484A-46EA-93B3-944DCB15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61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26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itifact.com/factchecks/2022/mar/10/facebook-posts/yes-oil-companies-are-reporting-record-breaking-pr/" TargetMode="External"/><Relationship Id="rId13" Type="http://schemas.openxmlformats.org/officeDocument/2006/relationships/hyperlink" Target="https://www.usinflationcalculato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numeracy_(book)" TargetMode="External"/><Relationship Id="rId12" Type="http://schemas.openxmlformats.org/officeDocument/2006/relationships/hyperlink" Target="https://finance.yahoo.com/quote/XOM/financials?p=X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yolanotredamelib.org/CityThatReads/home.html" TargetMode="External"/><Relationship Id="rId11" Type="http://schemas.openxmlformats.org/officeDocument/2006/relationships/hyperlink" Target="https://gasprices.aaa.com/russia-ukraine-conflict-continues-to-cause-pain-at-the-pump/" TargetMode="External"/><Relationship Id="rId5" Type="http://schemas.openxmlformats.org/officeDocument/2006/relationships/hyperlink" Target="https://www.imdb.com/title/tt0092679/plotsummary?ref_=tt_ov_pl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ommoncents.blogwyrm.com/?p=27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161</cp:revision>
  <dcterms:created xsi:type="dcterms:W3CDTF">2022-03-19T02:10:00Z</dcterms:created>
  <dcterms:modified xsi:type="dcterms:W3CDTF">2022-03-20T17:54:00Z</dcterms:modified>
</cp:coreProperties>
</file>