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ABC9" w14:textId="0558FC41" w:rsidR="00EA6F61" w:rsidRDefault="00EA6F61" w:rsidP="00EA6F61">
      <w:r>
        <w:t xml:space="preserve">Last month’s post looked at the causes of </w:t>
      </w:r>
      <w:r w:rsidR="00BF7BF1">
        <w:t>the various</w:t>
      </w:r>
      <w:r>
        <w:t xml:space="preserve"> bank failures that dominated the </w:t>
      </w:r>
      <w:r w:rsidR="001D630F">
        <w:t xml:space="preserve">March </w:t>
      </w:r>
      <w:r>
        <w:t xml:space="preserve">news </w:t>
      </w:r>
      <w:r w:rsidR="001D630F">
        <w:t xml:space="preserve">cycles </w:t>
      </w:r>
      <w:r w:rsidR="002944DC">
        <w:t xml:space="preserve">well-beyond </w:t>
      </w:r>
      <w:r>
        <w:t xml:space="preserve">the financial circles </w:t>
      </w:r>
      <w:r w:rsidR="002944DC">
        <w:t xml:space="preserve">and which penetrated </w:t>
      </w:r>
      <w:r w:rsidR="00A01617">
        <w:t xml:space="preserve">general news cycles and </w:t>
      </w:r>
      <w:r>
        <w:t>everyday discussions</w:t>
      </w:r>
      <w:r w:rsidR="002944DC">
        <w:t xml:space="preserve"> </w:t>
      </w:r>
      <w:r w:rsidR="00A01617">
        <w:t>held at work and over the dinner table</w:t>
      </w:r>
      <w:r>
        <w:t xml:space="preserve">.  The reasons for these failures were a combination of exposure to the weakness to cryptocurrencies in the wake of the FTX failure coupled with inadequate hedges against rising interest rates.  In the case of </w:t>
      </w:r>
      <w:proofErr w:type="spellStart"/>
      <w:r>
        <w:t>Silvergate</w:t>
      </w:r>
      <w:proofErr w:type="spellEnd"/>
      <w:r>
        <w:t xml:space="preserve">, that bank voluntarily began liquidation in advance of shuttering and the size of the overall assets that were affected is rather small.  In the case of Credit Suisse, an agreement was reached with UBS to save the bank though the latter’s purchase.  However, two of these banks, namely Silicon Valley Bank (SVB) and Signature Bank, were liquidated and sent into receivership making them two of the largest bank failures in US history.  The following table, adapted from </w:t>
      </w:r>
      <w:r w:rsidR="005C0263">
        <w:t>W</w:t>
      </w:r>
      <w:r>
        <w:t>ikipedia</w:t>
      </w:r>
      <w:r w:rsidR="005C0263">
        <w:t xml:space="preserve">’s </w:t>
      </w:r>
      <w:hyperlink r:id="rId4" w:history="1">
        <w:r w:rsidR="005C0263" w:rsidRPr="003B2C81">
          <w:rPr>
            <w:rStyle w:val="Hyperlink"/>
          </w:rPr>
          <w:t>list of the largest banking failures in the US</w:t>
        </w:r>
      </w:hyperlink>
      <w:r>
        <w:t>, shows that they occupy the second and third place on the all-time list, when adjusted for inflation.</w:t>
      </w:r>
    </w:p>
    <w:tbl>
      <w:tblPr>
        <w:tblW w:w="5600" w:type="dxa"/>
        <w:jc w:val="center"/>
        <w:tblLook w:val="04A0" w:firstRow="1" w:lastRow="0" w:firstColumn="1" w:lastColumn="0" w:noHBand="0" w:noVBand="1"/>
      </w:tblPr>
      <w:tblGrid>
        <w:gridCol w:w="1317"/>
        <w:gridCol w:w="1541"/>
        <w:gridCol w:w="690"/>
        <w:gridCol w:w="993"/>
        <w:gridCol w:w="1059"/>
      </w:tblGrid>
      <w:tr w:rsidR="00EA6F61" w:rsidRPr="00EA6F61" w14:paraId="027908C6" w14:textId="77777777" w:rsidTr="009F7309">
        <w:trPr>
          <w:trHeight w:val="600"/>
          <w:jc w:val="center"/>
        </w:trPr>
        <w:tc>
          <w:tcPr>
            <w:tcW w:w="1474" w:type="dxa"/>
            <w:vMerge w:val="restart"/>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6350F89E" w14:textId="77777777" w:rsidR="00EA6F61" w:rsidRPr="00EA6F61" w:rsidRDefault="00EA6F61" w:rsidP="00EA6F61">
            <w:pPr>
              <w:spacing w:after="0" w:line="240" w:lineRule="auto"/>
              <w:jc w:val="center"/>
              <w:rPr>
                <w:rFonts w:ascii="Calibri" w:eastAsia="Times New Roman" w:hAnsi="Calibri" w:cs="Calibri"/>
                <w:b/>
                <w:bCs/>
                <w:color w:val="202122"/>
              </w:rPr>
            </w:pPr>
            <w:r w:rsidRPr="00EA6F61">
              <w:rPr>
                <w:rFonts w:ascii="Calibri" w:eastAsia="Times New Roman" w:hAnsi="Calibri" w:cs="Calibri"/>
                <w:b/>
                <w:bCs/>
                <w:color w:val="202122"/>
              </w:rPr>
              <w:t>Bank</w:t>
            </w:r>
          </w:p>
        </w:tc>
        <w:tc>
          <w:tcPr>
            <w:tcW w:w="1355" w:type="dxa"/>
            <w:vMerge w:val="restart"/>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345EB44B" w14:textId="77777777" w:rsidR="00EA6F61" w:rsidRPr="00EA6F61" w:rsidRDefault="00EA6F61" w:rsidP="00EA6F61">
            <w:pPr>
              <w:spacing w:after="0" w:line="240" w:lineRule="auto"/>
              <w:jc w:val="center"/>
              <w:rPr>
                <w:rFonts w:ascii="Calibri" w:eastAsia="Times New Roman" w:hAnsi="Calibri" w:cs="Calibri"/>
                <w:b/>
                <w:bCs/>
                <w:color w:val="202122"/>
              </w:rPr>
            </w:pPr>
            <w:r w:rsidRPr="00EA6F61">
              <w:rPr>
                <w:rFonts w:ascii="Calibri" w:eastAsia="Times New Roman" w:hAnsi="Calibri" w:cs="Calibri"/>
                <w:b/>
                <w:bCs/>
                <w:color w:val="202122"/>
              </w:rPr>
              <w:t>State</w:t>
            </w:r>
          </w:p>
        </w:tc>
        <w:tc>
          <w:tcPr>
            <w:tcW w:w="887" w:type="dxa"/>
            <w:vMerge w:val="restart"/>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3037747E" w14:textId="77777777" w:rsidR="00EA6F61" w:rsidRPr="00EA6F61" w:rsidRDefault="00EA6F61" w:rsidP="00EA6F61">
            <w:pPr>
              <w:spacing w:after="0" w:line="240" w:lineRule="auto"/>
              <w:jc w:val="center"/>
              <w:rPr>
                <w:rFonts w:ascii="Calibri" w:eastAsia="Times New Roman" w:hAnsi="Calibri" w:cs="Calibri"/>
                <w:b/>
                <w:bCs/>
                <w:color w:val="202122"/>
              </w:rPr>
            </w:pPr>
            <w:r w:rsidRPr="00EA6F61">
              <w:rPr>
                <w:rFonts w:ascii="Calibri" w:eastAsia="Times New Roman" w:hAnsi="Calibri" w:cs="Calibri"/>
                <w:b/>
                <w:bCs/>
                <w:color w:val="202122"/>
              </w:rPr>
              <w:t>Year</w:t>
            </w:r>
          </w:p>
        </w:tc>
        <w:tc>
          <w:tcPr>
            <w:tcW w:w="1884" w:type="dxa"/>
            <w:gridSpan w:val="2"/>
            <w:tcBorders>
              <w:top w:val="single" w:sz="8" w:space="0" w:color="A2A9B1"/>
              <w:left w:val="nil"/>
              <w:bottom w:val="single" w:sz="8" w:space="0" w:color="A2A9B1"/>
              <w:right w:val="single" w:sz="8" w:space="0" w:color="A2A9B1"/>
            </w:tcBorders>
            <w:shd w:val="clear" w:color="000000" w:fill="EAECF0"/>
            <w:vAlign w:val="center"/>
            <w:hideMark/>
          </w:tcPr>
          <w:p w14:paraId="5A7CD80B" w14:textId="77777777" w:rsidR="00EA6F61" w:rsidRPr="00EA6F61" w:rsidRDefault="00EA6F61" w:rsidP="00EA6F61">
            <w:pPr>
              <w:spacing w:after="0" w:line="240" w:lineRule="auto"/>
              <w:jc w:val="center"/>
              <w:rPr>
                <w:rFonts w:ascii="Calibri" w:eastAsia="Times New Roman" w:hAnsi="Calibri" w:cs="Calibri"/>
                <w:b/>
                <w:bCs/>
                <w:color w:val="202122"/>
              </w:rPr>
            </w:pPr>
            <w:r w:rsidRPr="00EA6F61">
              <w:rPr>
                <w:rFonts w:ascii="Calibri" w:eastAsia="Times New Roman" w:hAnsi="Calibri" w:cs="Calibri"/>
                <w:b/>
                <w:bCs/>
                <w:color w:val="202122"/>
              </w:rPr>
              <w:t>Assets at time of failure ($B)</w:t>
            </w:r>
          </w:p>
        </w:tc>
      </w:tr>
      <w:tr w:rsidR="00EA6F61" w:rsidRPr="00EA6F61" w14:paraId="1A04ED4E" w14:textId="77777777" w:rsidTr="009F7309">
        <w:trPr>
          <w:trHeight w:val="915"/>
          <w:jc w:val="center"/>
        </w:trPr>
        <w:tc>
          <w:tcPr>
            <w:tcW w:w="1474" w:type="dxa"/>
            <w:vMerge/>
            <w:tcBorders>
              <w:top w:val="single" w:sz="8" w:space="0" w:color="A2A9B1"/>
              <w:left w:val="single" w:sz="8" w:space="0" w:color="A2A9B1"/>
              <w:bottom w:val="single" w:sz="8" w:space="0" w:color="A2A9B1"/>
              <w:right w:val="single" w:sz="8" w:space="0" w:color="A2A9B1"/>
            </w:tcBorders>
            <w:vAlign w:val="center"/>
            <w:hideMark/>
          </w:tcPr>
          <w:p w14:paraId="7852412F" w14:textId="77777777" w:rsidR="00EA6F61" w:rsidRPr="00EA6F61" w:rsidRDefault="00EA6F61" w:rsidP="00EA6F61">
            <w:pPr>
              <w:spacing w:after="0" w:line="240" w:lineRule="auto"/>
              <w:rPr>
                <w:rFonts w:ascii="Calibri" w:eastAsia="Times New Roman" w:hAnsi="Calibri" w:cs="Calibri"/>
                <w:b/>
                <w:bCs/>
                <w:color w:val="202122"/>
              </w:rPr>
            </w:pPr>
          </w:p>
        </w:tc>
        <w:tc>
          <w:tcPr>
            <w:tcW w:w="1355" w:type="dxa"/>
            <w:vMerge/>
            <w:tcBorders>
              <w:top w:val="single" w:sz="8" w:space="0" w:color="A2A9B1"/>
              <w:left w:val="single" w:sz="8" w:space="0" w:color="A2A9B1"/>
              <w:bottom w:val="single" w:sz="8" w:space="0" w:color="A2A9B1"/>
              <w:right w:val="single" w:sz="8" w:space="0" w:color="A2A9B1"/>
            </w:tcBorders>
            <w:vAlign w:val="center"/>
            <w:hideMark/>
          </w:tcPr>
          <w:p w14:paraId="069B9D31" w14:textId="77777777" w:rsidR="00EA6F61" w:rsidRPr="00EA6F61" w:rsidRDefault="00EA6F61" w:rsidP="00EA6F61">
            <w:pPr>
              <w:spacing w:after="0" w:line="240" w:lineRule="auto"/>
              <w:rPr>
                <w:rFonts w:ascii="Calibri" w:eastAsia="Times New Roman" w:hAnsi="Calibri" w:cs="Calibri"/>
                <w:b/>
                <w:bCs/>
                <w:color w:val="202122"/>
              </w:rPr>
            </w:pPr>
          </w:p>
        </w:tc>
        <w:tc>
          <w:tcPr>
            <w:tcW w:w="887" w:type="dxa"/>
            <w:vMerge/>
            <w:tcBorders>
              <w:top w:val="single" w:sz="8" w:space="0" w:color="A2A9B1"/>
              <w:left w:val="single" w:sz="8" w:space="0" w:color="A2A9B1"/>
              <w:bottom w:val="single" w:sz="8" w:space="0" w:color="A2A9B1"/>
              <w:right w:val="single" w:sz="8" w:space="0" w:color="A2A9B1"/>
            </w:tcBorders>
            <w:vAlign w:val="center"/>
            <w:hideMark/>
          </w:tcPr>
          <w:p w14:paraId="1AEA279C" w14:textId="77777777" w:rsidR="00EA6F61" w:rsidRPr="00EA6F61" w:rsidRDefault="00EA6F61" w:rsidP="00EA6F61">
            <w:pPr>
              <w:spacing w:after="0" w:line="240" w:lineRule="auto"/>
              <w:rPr>
                <w:rFonts w:ascii="Calibri" w:eastAsia="Times New Roman" w:hAnsi="Calibri" w:cs="Calibri"/>
                <w:b/>
                <w:bCs/>
                <w:color w:val="202122"/>
              </w:rPr>
            </w:pPr>
          </w:p>
        </w:tc>
        <w:tc>
          <w:tcPr>
            <w:tcW w:w="937" w:type="dxa"/>
            <w:tcBorders>
              <w:top w:val="nil"/>
              <w:left w:val="nil"/>
              <w:bottom w:val="single" w:sz="8" w:space="0" w:color="A2A9B1"/>
              <w:right w:val="single" w:sz="8" w:space="0" w:color="A2A9B1"/>
            </w:tcBorders>
            <w:shd w:val="clear" w:color="000000" w:fill="EAECF0"/>
            <w:vAlign w:val="center"/>
            <w:hideMark/>
          </w:tcPr>
          <w:p w14:paraId="23FE581A" w14:textId="77777777" w:rsidR="00EA6F61" w:rsidRPr="00EA6F61" w:rsidRDefault="00EA6F61" w:rsidP="00EA6F61">
            <w:pPr>
              <w:spacing w:after="0" w:line="240" w:lineRule="auto"/>
              <w:jc w:val="center"/>
              <w:rPr>
                <w:rFonts w:ascii="Calibri" w:eastAsia="Times New Roman" w:hAnsi="Calibri" w:cs="Calibri"/>
                <w:b/>
                <w:bCs/>
                <w:color w:val="202122"/>
              </w:rPr>
            </w:pPr>
            <w:r w:rsidRPr="00EA6F61">
              <w:rPr>
                <w:rFonts w:ascii="Calibri" w:eastAsia="Times New Roman" w:hAnsi="Calibri" w:cs="Calibri"/>
                <w:b/>
                <w:bCs/>
                <w:color w:val="202122"/>
              </w:rPr>
              <w:t>Nominal</w:t>
            </w:r>
          </w:p>
        </w:tc>
        <w:tc>
          <w:tcPr>
            <w:tcW w:w="947" w:type="dxa"/>
            <w:tcBorders>
              <w:top w:val="nil"/>
              <w:left w:val="nil"/>
              <w:bottom w:val="single" w:sz="8" w:space="0" w:color="A2A9B1"/>
              <w:right w:val="single" w:sz="8" w:space="0" w:color="A2A9B1"/>
            </w:tcBorders>
            <w:shd w:val="clear" w:color="000000" w:fill="EAECF0"/>
            <w:vAlign w:val="center"/>
            <w:hideMark/>
          </w:tcPr>
          <w:p w14:paraId="6F869B69" w14:textId="77777777" w:rsidR="00EA6F61" w:rsidRPr="00EA6F61" w:rsidRDefault="00EA6F61" w:rsidP="00EA6F61">
            <w:pPr>
              <w:spacing w:after="0" w:line="240" w:lineRule="auto"/>
              <w:jc w:val="center"/>
              <w:rPr>
                <w:rFonts w:ascii="Calibri" w:eastAsia="Times New Roman" w:hAnsi="Calibri" w:cs="Calibri"/>
                <w:b/>
                <w:bCs/>
                <w:color w:val="202122"/>
              </w:rPr>
            </w:pPr>
            <w:r w:rsidRPr="00EA6F61">
              <w:rPr>
                <w:rFonts w:ascii="Calibri" w:eastAsia="Times New Roman" w:hAnsi="Calibri" w:cs="Calibri"/>
                <w:b/>
                <w:bCs/>
                <w:color w:val="202122"/>
              </w:rPr>
              <w:t>Inflation-adjusted (2021)</w:t>
            </w:r>
          </w:p>
        </w:tc>
      </w:tr>
      <w:tr w:rsidR="00EA6F61" w:rsidRPr="00EA6F61" w14:paraId="5458713E" w14:textId="77777777" w:rsidTr="009F7309">
        <w:trPr>
          <w:trHeight w:val="6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4A107B03" w14:textId="77777777" w:rsidR="00EA6F61" w:rsidRPr="00EA6F61" w:rsidRDefault="00EA6F61" w:rsidP="00EA6F61">
            <w:pPr>
              <w:spacing w:after="0" w:line="240" w:lineRule="auto"/>
              <w:rPr>
                <w:rFonts w:ascii="Calibri" w:eastAsia="Times New Roman" w:hAnsi="Calibri" w:cs="Calibri"/>
                <w:color w:val="0563C1"/>
                <w:u w:val="single"/>
              </w:rPr>
            </w:pPr>
            <w:hyperlink r:id="rId5" w:tooltip="Washington Mutual" w:history="1">
              <w:r w:rsidRPr="00EA6F61">
                <w:rPr>
                  <w:rFonts w:ascii="Calibri" w:eastAsia="Times New Roman" w:hAnsi="Calibri" w:cs="Calibri"/>
                  <w:color w:val="0563C1"/>
                  <w:u w:val="single"/>
                </w:rPr>
                <w:t>Washington Mu</w:t>
              </w:r>
              <w:r w:rsidRPr="00EA6F61">
                <w:rPr>
                  <w:rFonts w:ascii="Calibri" w:eastAsia="Times New Roman" w:hAnsi="Calibri" w:cs="Calibri"/>
                  <w:color w:val="0563C1"/>
                  <w:u w:val="single"/>
                </w:rPr>
                <w:t>t</w:t>
              </w:r>
              <w:r w:rsidRPr="00EA6F61">
                <w:rPr>
                  <w:rFonts w:ascii="Calibri" w:eastAsia="Times New Roman" w:hAnsi="Calibri" w:cs="Calibri"/>
                  <w:color w:val="0563C1"/>
                  <w:u w:val="single"/>
                </w:rPr>
                <w:t>ual</w:t>
              </w:r>
            </w:hyperlink>
          </w:p>
        </w:tc>
        <w:tc>
          <w:tcPr>
            <w:tcW w:w="1355" w:type="dxa"/>
            <w:tcBorders>
              <w:top w:val="nil"/>
              <w:left w:val="nil"/>
              <w:bottom w:val="single" w:sz="8" w:space="0" w:color="A2A9B1"/>
              <w:right w:val="single" w:sz="8" w:space="0" w:color="A2A9B1"/>
            </w:tcBorders>
            <w:shd w:val="clear" w:color="000000" w:fill="F8F9FA"/>
            <w:vAlign w:val="center"/>
            <w:hideMark/>
          </w:tcPr>
          <w:p w14:paraId="754C0C56" w14:textId="77777777" w:rsidR="00EA6F61" w:rsidRPr="00EA6F61" w:rsidRDefault="00EA6F61" w:rsidP="00EA6F61">
            <w:pPr>
              <w:spacing w:after="0" w:line="240" w:lineRule="auto"/>
              <w:rPr>
                <w:rFonts w:ascii="Calibri" w:eastAsia="Times New Roman" w:hAnsi="Calibri" w:cs="Calibri"/>
                <w:color w:val="0563C1"/>
                <w:u w:val="single"/>
              </w:rPr>
            </w:pPr>
            <w:hyperlink r:id="rId6" w:tooltip="Washington (state)" w:history="1">
              <w:r w:rsidRPr="00EA6F61">
                <w:rPr>
                  <w:rFonts w:ascii="Calibri" w:eastAsia="Times New Roman" w:hAnsi="Calibri" w:cs="Calibri"/>
                  <w:color w:val="0563C1"/>
                  <w:u w:val="single"/>
                </w:rPr>
                <w:t>Washington</w:t>
              </w:r>
            </w:hyperlink>
          </w:p>
        </w:tc>
        <w:tc>
          <w:tcPr>
            <w:tcW w:w="887" w:type="dxa"/>
            <w:tcBorders>
              <w:top w:val="nil"/>
              <w:left w:val="nil"/>
              <w:bottom w:val="single" w:sz="8" w:space="0" w:color="A2A9B1"/>
              <w:right w:val="single" w:sz="8" w:space="0" w:color="A2A9B1"/>
            </w:tcBorders>
            <w:shd w:val="clear" w:color="000000" w:fill="F8F9FA"/>
            <w:vAlign w:val="center"/>
            <w:hideMark/>
          </w:tcPr>
          <w:p w14:paraId="01822ED1"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2008</w:t>
            </w:r>
          </w:p>
        </w:tc>
        <w:tc>
          <w:tcPr>
            <w:tcW w:w="937" w:type="dxa"/>
            <w:tcBorders>
              <w:top w:val="nil"/>
              <w:left w:val="nil"/>
              <w:bottom w:val="single" w:sz="8" w:space="0" w:color="A2A9B1"/>
              <w:right w:val="single" w:sz="8" w:space="0" w:color="A2A9B1"/>
            </w:tcBorders>
            <w:shd w:val="clear" w:color="000000" w:fill="F8F9FA"/>
            <w:vAlign w:val="center"/>
            <w:hideMark/>
          </w:tcPr>
          <w:p w14:paraId="7A4AA6DE"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$307 </w:t>
            </w:r>
          </w:p>
        </w:tc>
        <w:tc>
          <w:tcPr>
            <w:tcW w:w="947" w:type="dxa"/>
            <w:tcBorders>
              <w:top w:val="nil"/>
              <w:left w:val="nil"/>
              <w:bottom w:val="single" w:sz="8" w:space="0" w:color="A2A9B1"/>
              <w:right w:val="single" w:sz="8" w:space="0" w:color="A2A9B1"/>
            </w:tcBorders>
            <w:shd w:val="clear" w:color="000000" w:fill="F8F9FA"/>
            <w:vAlign w:val="center"/>
            <w:hideMark/>
          </w:tcPr>
          <w:p w14:paraId="1CF09387"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$386 </w:t>
            </w:r>
          </w:p>
        </w:tc>
      </w:tr>
      <w:tr w:rsidR="00EA6F61" w:rsidRPr="00EA6F61" w14:paraId="7C090B40" w14:textId="77777777" w:rsidTr="009F7309">
        <w:trPr>
          <w:trHeight w:val="6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5FFD3123" w14:textId="77777777" w:rsidR="00EA6F61" w:rsidRPr="00EA6F61" w:rsidRDefault="00EA6F61" w:rsidP="00EA6F61">
            <w:pPr>
              <w:spacing w:after="0" w:line="240" w:lineRule="auto"/>
              <w:rPr>
                <w:rFonts w:ascii="Calibri" w:eastAsia="Times New Roman" w:hAnsi="Calibri" w:cs="Calibri"/>
                <w:color w:val="0563C1"/>
                <w:u w:val="single"/>
              </w:rPr>
            </w:pPr>
            <w:hyperlink r:id="rId7" w:tooltip="Silicon Valley Bank" w:history="1">
              <w:r w:rsidRPr="00EA6F61">
                <w:rPr>
                  <w:rFonts w:ascii="Calibri" w:eastAsia="Times New Roman" w:hAnsi="Calibri" w:cs="Calibri"/>
                  <w:color w:val="0563C1"/>
                  <w:u w:val="single"/>
                </w:rPr>
                <w:t>Silicon Valley Bank</w:t>
              </w:r>
            </w:hyperlink>
          </w:p>
        </w:tc>
        <w:tc>
          <w:tcPr>
            <w:tcW w:w="1355" w:type="dxa"/>
            <w:tcBorders>
              <w:top w:val="nil"/>
              <w:left w:val="nil"/>
              <w:bottom w:val="single" w:sz="8" w:space="0" w:color="A2A9B1"/>
              <w:right w:val="single" w:sz="8" w:space="0" w:color="A2A9B1"/>
            </w:tcBorders>
            <w:shd w:val="clear" w:color="000000" w:fill="F8F9FA"/>
            <w:vAlign w:val="center"/>
            <w:hideMark/>
          </w:tcPr>
          <w:p w14:paraId="0F52EED9" w14:textId="77777777" w:rsidR="00EA6F61" w:rsidRPr="00EA6F61" w:rsidRDefault="00EA6F61" w:rsidP="00EA6F61">
            <w:pPr>
              <w:spacing w:after="0" w:line="240" w:lineRule="auto"/>
              <w:rPr>
                <w:rFonts w:ascii="Calibri" w:eastAsia="Times New Roman" w:hAnsi="Calibri" w:cs="Calibri"/>
                <w:color w:val="0563C1"/>
                <w:u w:val="single"/>
              </w:rPr>
            </w:pPr>
            <w:hyperlink r:id="rId8" w:tooltip="California" w:history="1">
              <w:r w:rsidRPr="00EA6F61">
                <w:rPr>
                  <w:rFonts w:ascii="Calibri" w:eastAsia="Times New Roman" w:hAnsi="Calibri" w:cs="Calibri"/>
                  <w:color w:val="0563C1"/>
                  <w:u w:val="single"/>
                </w:rPr>
                <w:t>California</w:t>
              </w:r>
            </w:hyperlink>
          </w:p>
        </w:tc>
        <w:tc>
          <w:tcPr>
            <w:tcW w:w="887" w:type="dxa"/>
            <w:tcBorders>
              <w:top w:val="nil"/>
              <w:left w:val="nil"/>
              <w:bottom w:val="single" w:sz="8" w:space="0" w:color="A2A9B1"/>
              <w:right w:val="single" w:sz="8" w:space="0" w:color="A2A9B1"/>
            </w:tcBorders>
            <w:shd w:val="clear" w:color="000000" w:fill="F8F9FA"/>
            <w:vAlign w:val="center"/>
            <w:hideMark/>
          </w:tcPr>
          <w:p w14:paraId="7BA1BA38"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2023</w:t>
            </w:r>
          </w:p>
        </w:tc>
        <w:tc>
          <w:tcPr>
            <w:tcW w:w="937" w:type="dxa"/>
            <w:tcBorders>
              <w:top w:val="nil"/>
              <w:left w:val="nil"/>
              <w:bottom w:val="single" w:sz="8" w:space="0" w:color="A2A9B1"/>
              <w:right w:val="single" w:sz="8" w:space="0" w:color="A2A9B1"/>
            </w:tcBorders>
            <w:shd w:val="clear" w:color="000000" w:fill="F8F9FA"/>
            <w:vAlign w:val="center"/>
            <w:hideMark/>
          </w:tcPr>
          <w:p w14:paraId="0671E9D0"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$209 </w:t>
            </w:r>
          </w:p>
        </w:tc>
        <w:tc>
          <w:tcPr>
            <w:tcW w:w="947" w:type="dxa"/>
            <w:tcBorders>
              <w:top w:val="nil"/>
              <w:left w:val="nil"/>
              <w:bottom w:val="single" w:sz="8" w:space="0" w:color="A2A9B1"/>
              <w:right w:val="single" w:sz="8" w:space="0" w:color="A2A9B1"/>
            </w:tcBorders>
            <w:shd w:val="clear" w:color="000000" w:fill="F8F9FA"/>
            <w:vAlign w:val="center"/>
            <w:hideMark/>
          </w:tcPr>
          <w:p w14:paraId="5B238097"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$209 </w:t>
            </w:r>
          </w:p>
        </w:tc>
      </w:tr>
      <w:tr w:rsidR="00EA6F61" w:rsidRPr="00EA6F61" w14:paraId="30D9D991" w14:textId="77777777" w:rsidTr="009F7309">
        <w:trPr>
          <w:trHeight w:val="3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020193C2" w14:textId="77777777" w:rsidR="00EA6F61" w:rsidRPr="00EA6F61" w:rsidRDefault="00EA6F61" w:rsidP="00EA6F61">
            <w:pPr>
              <w:spacing w:after="0" w:line="240" w:lineRule="auto"/>
              <w:rPr>
                <w:rFonts w:ascii="Calibri" w:eastAsia="Times New Roman" w:hAnsi="Calibri" w:cs="Calibri"/>
                <w:color w:val="0563C1"/>
                <w:u w:val="single"/>
              </w:rPr>
            </w:pPr>
            <w:hyperlink r:id="rId9" w:tooltip="Signature Bank" w:history="1">
              <w:r w:rsidRPr="00EA6F61">
                <w:rPr>
                  <w:rFonts w:ascii="Calibri" w:eastAsia="Times New Roman" w:hAnsi="Calibri" w:cs="Calibri"/>
                  <w:color w:val="0563C1"/>
                  <w:u w:val="single"/>
                </w:rPr>
                <w:t>Signature Bank</w:t>
              </w:r>
            </w:hyperlink>
          </w:p>
        </w:tc>
        <w:tc>
          <w:tcPr>
            <w:tcW w:w="1355" w:type="dxa"/>
            <w:tcBorders>
              <w:top w:val="nil"/>
              <w:left w:val="nil"/>
              <w:bottom w:val="single" w:sz="8" w:space="0" w:color="A2A9B1"/>
              <w:right w:val="single" w:sz="8" w:space="0" w:color="A2A9B1"/>
            </w:tcBorders>
            <w:shd w:val="clear" w:color="000000" w:fill="F8F9FA"/>
            <w:vAlign w:val="center"/>
            <w:hideMark/>
          </w:tcPr>
          <w:p w14:paraId="118E368C" w14:textId="77777777" w:rsidR="00EA6F61" w:rsidRPr="00EA6F61" w:rsidRDefault="00EA6F61" w:rsidP="00EA6F61">
            <w:pPr>
              <w:spacing w:after="0" w:line="240" w:lineRule="auto"/>
              <w:rPr>
                <w:rFonts w:ascii="Calibri" w:eastAsia="Times New Roman" w:hAnsi="Calibri" w:cs="Calibri"/>
                <w:color w:val="0563C1"/>
                <w:u w:val="single"/>
              </w:rPr>
            </w:pPr>
            <w:hyperlink r:id="rId10" w:tooltip="New York (state)" w:history="1">
              <w:r w:rsidRPr="00EA6F61">
                <w:rPr>
                  <w:rFonts w:ascii="Calibri" w:eastAsia="Times New Roman" w:hAnsi="Calibri" w:cs="Calibri"/>
                  <w:color w:val="0563C1"/>
                  <w:u w:val="single"/>
                </w:rPr>
                <w:t>New York</w:t>
              </w:r>
            </w:hyperlink>
          </w:p>
        </w:tc>
        <w:tc>
          <w:tcPr>
            <w:tcW w:w="887" w:type="dxa"/>
            <w:tcBorders>
              <w:top w:val="nil"/>
              <w:left w:val="nil"/>
              <w:bottom w:val="single" w:sz="8" w:space="0" w:color="A2A9B1"/>
              <w:right w:val="single" w:sz="8" w:space="0" w:color="A2A9B1"/>
            </w:tcBorders>
            <w:shd w:val="clear" w:color="000000" w:fill="F8F9FA"/>
            <w:vAlign w:val="center"/>
            <w:hideMark/>
          </w:tcPr>
          <w:p w14:paraId="17CF4DC4"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2023</w:t>
            </w:r>
          </w:p>
        </w:tc>
        <w:tc>
          <w:tcPr>
            <w:tcW w:w="937" w:type="dxa"/>
            <w:tcBorders>
              <w:top w:val="nil"/>
              <w:left w:val="nil"/>
              <w:bottom w:val="single" w:sz="8" w:space="0" w:color="A2A9B1"/>
              <w:right w:val="single" w:sz="8" w:space="0" w:color="A2A9B1"/>
            </w:tcBorders>
            <w:shd w:val="clear" w:color="000000" w:fill="F8F9FA"/>
            <w:vAlign w:val="center"/>
            <w:hideMark/>
          </w:tcPr>
          <w:p w14:paraId="06E70577"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$118 </w:t>
            </w:r>
          </w:p>
        </w:tc>
        <w:tc>
          <w:tcPr>
            <w:tcW w:w="947" w:type="dxa"/>
            <w:tcBorders>
              <w:top w:val="nil"/>
              <w:left w:val="nil"/>
              <w:bottom w:val="single" w:sz="8" w:space="0" w:color="A2A9B1"/>
              <w:right w:val="single" w:sz="8" w:space="0" w:color="A2A9B1"/>
            </w:tcBorders>
            <w:shd w:val="clear" w:color="000000" w:fill="F8F9FA"/>
            <w:vAlign w:val="center"/>
            <w:hideMark/>
          </w:tcPr>
          <w:p w14:paraId="67C94E9D"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$118 </w:t>
            </w:r>
          </w:p>
        </w:tc>
      </w:tr>
      <w:tr w:rsidR="00EA6F61" w:rsidRPr="00EA6F61" w14:paraId="72936BA2" w14:textId="77777777" w:rsidTr="009F7309">
        <w:trPr>
          <w:trHeight w:val="12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307C652C" w14:textId="77777777" w:rsidR="00EA6F61" w:rsidRPr="00EA6F61" w:rsidRDefault="00EA6F61" w:rsidP="00EA6F61">
            <w:pPr>
              <w:spacing w:after="0" w:line="240" w:lineRule="auto"/>
              <w:rPr>
                <w:rFonts w:ascii="Calibri" w:eastAsia="Times New Roman" w:hAnsi="Calibri" w:cs="Calibri"/>
                <w:color w:val="0563C1"/>
                <w:u w:val="single"/>
              </w:rPr>
            </w:pPr>
            <w:hyperlink r:id="rId11" w:tooltip="Continental Illinois National Bank and Trust" w:history="1">
              <w:r w:rsidRPr="00EA6F61">
                <w:rPr>
                  <w:rFonts w:ascii="Calibri" w:eastAsia="Times New Roman" w:hAnsi="Calibri" w:cs="Calibri"/>
                  <w:color w:val="0563C1"/>
                  <w:u w:val="single"/>
                </w:rPr>
                <w:t>Continental Illinois National Bank and Trust</w:t>
              </w:r>
            </w:hyperlink>
          </w:p>
        </w:tc>
        <w:tc>
          <w:tcPr>
            <w:tcW w:w="1355" w:type="dxa"/>
            <w:tcBorders>
              <w:top w:val="nil"/>
              <w:left w:val="nil"/>
              <w:bottom w:val="single" w:sz="8" w:space="0" w:color="A2A9B1"/>
              <w:right w:val="single" w:sz="8" w:space="0" w:color="A2A9B1"/>
            </w:tcBorders>
            <w:shd w:val="clear" w:color="000000" w:fill="F8F9FA"/>
            <w:vAlign w:val="center"/>
            <w:hideMark/>
          </w:tcPr>
          <w:p w14:paraId="2F420621" w14:textId="77777777" w:rsidR="00EA6F61" w:rsidRPr="00EA6F61" w:rsidRDefault="00EA6F61" w:rsidP="00EA6F61">
            <w:pPr>
              <w:spacing w:after="0" w:line="240" w:lineRule="auto"/>
              <w:rPr>
                <w:rFonts w:ascii="Calibri" w:eastAsia="Times New Roman" w:hAnsi="Calibri" w:cs="Calibri"/>
                <w:color w:val="0563C1"/>
                <w:u w:val="single"/>
              </w:rPr>
            </w:pPr>
            <w:hyperlink r:id="rId12" w:tooltip="Illinois" w:history="1">
              <w:r w:rsidRPr="00EA6F61">
                <w:rPr>
                  <w:rFonts w:ascii="Calibri" w:eastAsia="Times New Roman" w:hAnsi="Calibri" w:cs="Calibri"/>
                  <w:color w:val="0563C1"/>
                  <w:u w:val="single"/>
                </w:rPr>
                <w:t>Illinois</w:t>
              </w:r>
            </w:hyperlink>
          </w:p>
        </w:tc>
        <w:tc>
          <w:tcPr>
            <w:tcW w:w="887" w:type="dxa"/>
            <w:tcBorders>
              <w:top w:val="nil"/>
              <w:left w:val="nil"/>
              <w:bottom w:val="single" w:sz="8" w:space="0" w:color="A2A9B1"/>
              <w:right w:val="single" w:sz="8" w:space="0" w:color="A2A9B1"/>
            </w:tcBorders>
            <w:shd w:val="clear" w:color="000000" w:fill="F8F9FA"/>
            <w:vAlign w:val="center"/>
            <w:hideMark/>
          </w:tcPr>
          <w:p w14:paraId="12F1DBDC"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1984</w:t>
            </w:r>
          </w:p>
        </w:tc>
        <w:tc>
          <w:tcPr>
            <w:tcW w:w="937" w:type="dxa"/>
            <w:tcBorders>
              <w:top w:val="nil"/>
              <w:left w:val="nil"/>
              <w:bottom w:val="single" w:sz="8" w:space="0" w:color="A2A9B1"/>
              <w:right w:val="single" w:sz="8" w:space="0" w:color="A2A9B1"/>
            </w:tcBorders>
            <w:shd w:val="clear" w:color="000000" w:fill="F8F9FA"/>
            <w:vAlign w:val="center"/>
            <w:hideMark/>
          </w:tcPr>
          <w:p w14:paraId="638C3F6A"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$40.0 </w:t>
            </w:r>
          </w:p>
        </w:tc>
        <w:tc>
          <w:tcPr>
            <w:tcW w:w="947" w:type="dxa"/>
            <w:tcBorders>
              <w:top w:val="nil"/>
              <w:left w:val="nil"/>
              <w:bottom w:val="single" w:sz="8" w:space="0" w:color="A2A9B1"/>
              <w:right w:val="single" w:sz="8" w:space="0" w:color="A2A9B1"/>
            </w:tcBorders>
            <w:shd w:val="clear" w:color="000000" w:fill="F8F9FA"/>
            <w:vAlign w:val="center"/>
            <w:hideMark/>
          </w:tcPr>
          <w:p w14:paraId="1669C411"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$104 </w:t>
            </w:r>
          </w:p>
        </w:tc>
      </w:tr>
      <w:tr w:rsidR="00EA6F61" w:rsidRPr="00EA6F61" w14:paraId="68E88A65" w14:textId="77777777" w:rsidTr="009F7309">
        <w:trPr>
          <w:trHeight w:val="9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1C950D2E" w14:textId="77777777" w:rsidR="00EA6F61" w:rsidRPr="00EA6F61" w:rsidRDefault="00EA6F61" w:rsidP="00EA6F61">
            <w:pPr>
              <w:spacing w:after="0" w:line="240" w:lineRule="auto"/>
              <w:rPr>
                <w:rFonts w:ascii="Calibri" w:eastAsia="Times New Roman" w:hAnsi="Calibri" w:cs="Calibri"/>
                <w:color w:val="0563C1"/>
                <w:u w:val="single"/>
              </w:rPr>
            </w:pPr>
            <w:hyperlink r:id="rId13" w:tooltip="First Republic Bank Corporation" w:history="1">
              <w:r w:rsidRPr="00EA6F61">
                <w:rPr>
                  <w:rFonts w:ascii="Calibri" w:eastAsia="Times New Roman" w:hAnsi="Calibri" w:cs="Calibri"/>
                  <w:color w:val="0563C1"/>
                  <w:u w:val="single"/>
                </w:rPr>
                <w:t>First Republic Bank Corporation</w:t>
              </w:r>
            </w:hyperlink>
          </w:p>
        </w:tc>
        <w:tc>
          <w:tcPr>
            <w:tcW w:w="1355" w:type="dxa"/>
            <w:tcBorders>
              <w:top w:val="nil"/>
              <w:left w:val="nil"/>
              <w:bottom w:val="single" w:sz="8" w:space="0" w:color="A2A9B1"/>
              <w:right w:val="single" w:sz="8" w:space="0" w:color="A2A9B1"/>
            </w:tcBorders>
            <w:shd w:val="clear" w:color="000000" w:fill="F8F9FA"/>
            <w:vAlign w:val="center"/>
            <w:hideMark/>
          </w:tcPr>
          <w:p w14:paraId="1D2763C5" w14:textId="77777777" w:rsidR="00EA6F61" w:rsidRPr="00EA6F61" w:rsidRDefault="00EA6F61" w:rsidP="00EA6F61">
            <w:pPr>
              <w:spacing w:after="0" w:line="240" w:lineRule="auto"/>
              <w:rPr>
                <w:rFonts w:ascii="Calibri" w:eastAsia="Times New Roman" w:hAnsi="Calibri" w:cs="Calibri"/>
                <w:color w:val="0563C1"/>
                <w:u w:val="single"/>
              </w:rPr>
            </w:pPr>
            <w:hyperlink r:id="rId14" w:tooltip="Texas" w:history="1">
              <w:r w:rsidRPr="00EA6F61">
                <w:rPr>
                  <w:rFonts w:ascii="Calibri" w:eastAsia="Times New Roman" w:hAnsi="Calibri" w:cs="Calibri"/>
                  <w:color w:val="0563C1"/>
                  <w:u w:val="single"/>
                </w:rPr>
                <w:t>Texas</w:t>
              </w:r>
            </w:hyperlink>
          </w:p>
        </w:tc>
        <w:tc>
          <w:tcPr>
            <w:tcW w:w="887" w:type="dxa"/>
            <w:tcBorders>
              <w:top w:val="nil"/>
              <w:left w:val="nil"/>
              <w:bottom w:val="single" w:sz="8" w:space="0" w:color="A2A9B1"/>
              <w:right w:val="single" w:sz="8" w:space="0" w:color="A2A9B1"/>
            </w:tcBorders>
            <w:shd w:val="clear" w:color="000000" w:fill="F8F9FA"/>
            <w:vAlign w:val="center"/>
            <w:hideMark/>
          </w:tcPr>
          <w:p w14:paraId="0B2B500A"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1988</w:t>
            </w:r>
          </w:p>
        </w:tc>
        <w:tc>
          <w:tcPr>
            <w:tcW w:w="937" w:type="dxa"/>
            <w:tcBorders>
              <w:top w:val="nil"/>
              <w:left w:val="nil"/>
              <w:bottom w:val="single" w:sz="8" w:space="0" w:color="A2A9B1"/>
              <w:right w:val="single" w:sz="8" w:space="0" w:color="A2A9B1"/>
            </w:tcBorders>
            <w:shd w:val="clear" w:color="000000" w:fill="F8F9FA"/>
            <w:vAlign w:val="center"/>
            <w:hideMark/>
          </w:tcPr>
          <w:p w14:paraId="17AA5073"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$32.5 </w:t>
            </w:r>
          </w:p>
        </w:tc>
        <w:tc>
          <w:tcPr>
            <w:tcW w:w="947" w:type="dxa"/>
            <w:tcBorders>
              <w:top w:val="nil"/>
              <w:left w:val="nil"/>
              <w:bottom w:val="single" w:sz="8" w:space="0" w:color="A2A9B1"/>
              <w:right w:val="single" w:sz="8" w:space="0" w:color="A2A9B1"/>
            </w:tcBorders>
            <w:shd w:val="clear" w:color="000000" w:fill="F8F9FA"/>
            <w:vAlign w:val="center"/>
            <w:hideMark/>
          </w:tcPr>
          <w:p w14:paraId="7BDD03D2"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$74 </w:t>
            </w:r>
          </w:p>
        </w:tc>
      </w:tr>
      <w:tr w:rsidR="00EA6F61" w:rsidRPr="00EA6F61" w14:paraId="6A78A3F4" w14:textId="77777777" w:rsidTr="009F7309">
        <w:trPr>
          <w:trHeight w:val="9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3C122F51" w14:textId="77777777" w:rsidR="00EA6F61" w:rsidRPr="00EA6F61" w:rsidRDefault="00EA6F61" w:rsidP="00EA6F61">
            <w:pPr>
              <w:spacing w:after="0" w:line="240" w:lineRule="auto"/>
              <w:rPr>
                <w:rFonts w:ascii="Calibri" w:eastAsia="Times New Roman" w:hAnsi="Calibri" w:cs="Calibri"/>
                <w:color w:val="0563C1"/>
                <w:u w:val="single"/>
              </w:rPr>
            </w:pPr>
            <w:hyperlink r:id="rId15" w:tooltip="American Savings and Loan" w:history="1">
              <w:r w:rsidRPr="00EA6F61">
                <w:rPr>
                  <w:rFonts w:ascii="Calibri" w:eastAsia="Times New Roman" w:hAnsi="Calibri" w:cs="Calibri"/>
                  <w:color w:val="0563C1"/>
                  <w:u w:val="single"/>
                </w:rPr>
                <w:t>American Savings and Loan</w:t>
              </w:r>
            </w:hyperlink>
          </w:p>
        </w:tc>
        <w:tc>
          <w:tcPr>
            <w:tcW w:w="1355" w:type="dxa"/>
            <w:tcBorders>
              <w:top w:val="nil"/>
              <w:left w:val="nil"/>
              <w:bottom w:val="single" w:sz="8" w:space="0" w:color="A2A9B1"/>
              <w:right w:val="single" w:sz="8" w:space="0" w:color="A2A9B1"/>
            </w:tcBorders>
            <w:shd w:val="clear" w:color="000000" w:fill="F8F9FA"/>
            <w:vAlign w:val="center"/>
            <w:hideMark/>
          </w:tcPr>
          <w:p w14:paraId="20ADFC1D" w14:textId="77777777" w:rsidR="00EA6F61" w:rsidRPr="00EA6F61" w:rsidRDefault="00EA6F61" w:rsidP="00EA6F61">
            <w:pPr>
              <w:spacing w:after="0" w:line="240" w:lineRule="auto"/>
              <w:rPr>
                <w:rFonts w:ascii="Calibri" w:eastAsia="Times New Roman" w:hAnsi="Calibri" w:cs="Calibri"/>
                <w:color w:val="0563C1"/>
                <w:u w:val="single"/>
              </w:rPr>
            </w:pPr>
            <w:hyperlink r:id="rId16" w:tooltip="California" w:history="1">
              <w:r w:rsidRPr="00EA6F61">
                <w:rPr>
                  <w:rFonts w:ascii="Calibri" w:eastAsia="Times New Roman" w:hAnsi="Calibri" w:cs="Calibri"/>
                  <w:color w:val="0563C1"/>
                  <w:u w:val="single"/>
                </w:rPr>
                <w:t>California</w:t>
              </w:r>
            </w:hyperlink>
          </w:p>
        </w:tc>
        <w:tc>
          <w:tcPr>
            <w:tcW w:w="887" w:type="dxa"/>
            <w:tcBorders>
              <w:top w:val="nil"/>
              <w:left w:val="nil"/>
              <w:bottom w:val="single" w:sz="8" w:space="0" w:color="A2A9B1"/>
              <w:right w:val="single" w:sz="8" w:space="0" w:color="A2A9B1"/>
            </w:tcBorders>
            <w:shd w:val="clear" w:color="000000" w:fill="F8F9FA"/>
            <w:vAlign w:val="center"/>
            <w:hideMark/>
          </w:tcPr>
          <w:p w14:paraId="4DAD952A"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1988</w:t>
            </w:r>
          </w:p>
        </w:tc>
        <w:tc>
          <w:tcPr>
            <w:tcW w:w="937" w:type="dxa"/>
            <w:tcBorders>
              <w:top w:val="nil"/>
              <w:left w:val="nil"/>
              <w:bottom w:val="single" w:sz="8" w:space="0" w:color="A2A9B1"/>
              <w:right w:val="single" w:sz="8" w:space="0" w:color="A2A9B1"/>
            </w:tcBorders>
            <w:shd w:val="clear" w:color="000000" w:fill="F8F9FA"/>
            <w:vAlign w:val="center"/>
            <w:hideMark/>
          </w:tcPr>
          <w:p w14:paraId="174041AE"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$30.2 </w:t>
            </w:r>
          </w:p>
        </w:tc>
        <w:tc>
          <w:tcPr>
            <w:tcW w:w="947" w:type="dxa"/>
            <w:tcBorders>
              <w:top w:val="nil"/>
              <w:left w:val="nil"/>
              <w:bottom w:val="single" w:sz="8" w:space="0" w:color="A2A9B1"/>
              <w:right w:val="single" w:sz="8" w:space="0" w:color="A2A9B1"/>
            </w:tcBorders>
            <w:shd w:val="clear" w:color="000000" w:fill="F8F9FA"/>
            <w:vAlign w:val="center"/>
            <w:hideMark/>
          </w:tcPr>
          <w:p w14:paraId="17246663"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$69 </w:t>
            </w:r>
          </w:p>
        </w:tc>
      </w:tr>
      <w:tr w:rsidR="00EA6F61" w:rsidRPr="00EA6F61" w14:paraId="10E3FC14" w14:textId="77777777" w:rsidTr="009F7309">
        <w:trPr>
          <w:trHeight w:val="6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3136A620" w14:textId="77777777" w:rsidR="00EA6F61" w:rsidRPr="00EA6F61" w:rsidRDefault="00EA6F61" w:rsidP="00EA6F61">
            <w:pPr>
              <w:spacing w:after="0" w:line="240" w:lineRule="auto"/>
              <w:rPr>
                <w:rFonts w:ascii="Calibri" w:eastAsia="Times New Roman" w:hAnsi="Calibri" w:cs="Calibri"/>
                <w:color w:val="0563C1"/>
                <w:u w:val="single"/>
              </w:rPr>
            </w:pPr>
            <w:hyperlink r:id="rId17" w:tooltip="Bank of New England" w:history="1">
              <w:r w:rsidRPr="00EA6F61">
                <w:rPr>
                  <w:rFonts w:ascii="Calibri" w:eastAsia="Times New Roman" w:hAnsi="Calibri" w:cs="Calibri"/>
                  <w:color w:val="0563C1"/>
                  <w:u w:val="single"/>
                </w:rPr>
                <w:t>Bank of New England</w:t>
              </w:r>
            </w:hyperlink>
          </w:p>
        </w:tc>
        <w:tc>
          <w:tcPr>
            <w:tcW w:w="1355" w:type="dxa"/>
            <w:tcBorders>
              <w:top w:val="nil"/>
              <w:left w:val="nil"/>
              <w:bottom w:val="single" w:sz="8" w:space="0" w:color="A2A9B1"/>
              <w:right w:val="single" w:sz="8" w:space="0" w:color="A2A9B1"/>
            </w:tcBorders>
            <w:shd w:val="clear" w:color="000000" w:fill="F8F9FA"/>
            <w:vAlign w:val="center"/>
            <w:hideMark/>
          </w:tcPr>
          <w:p w14:paraId="188FF557" w14:textId="77777777" w:rsidR="00EA6F61" w:rsidRPr="00EA6F61" w:rsidRDefault="00EA6F61" w:rsidP="00EA6F61">
            <w:pPr>
              <w:spacing w:after="0" w:line="240" w:lineRule="auto"/>
              <w:rPr>
                <w:rFonts w:ascii="Calibri" w:eastAsia="Times New Roman" w:hAnsi="Calibri" w:cs="Calibri"/>
                <w:color w:val="0563C1"/>
                <w:u w:val="single"/>
              </w:rPr>
            </w:pPr>
            <w:hyperlink r:id="rId18" w:tooltip="Massachusetts" w:history="1">
              <w:r w:rsidRPr="00EA6F61">
                <w:rPr>
                  <w:rFonts w:ascii="Calibri" w:eastAsia="Times New Roman" w:hAnsi="Calibri" w:cs="Calibri"/>
                  <w:color w:val="0563C1"/>
                  <w:u w:val="single"/>
                </w:rPr>
                <w:t>Massachusetts</w:t>
              </w:r>
            </w:hyperlink>
          </w:p>
        </w:tc>
        <w:tc>
          <w:tcPr>
            <w:tcW w:w="887" w:type="dxa"/>
            <w:tcBorders>
              <w:top w:val="nil"/>
              <w:left w:val="nil"/>
              <w:bottom w:val="single" w:sz="8" w:space="0" w:color="A2A9B1"/>
              <w:right w:val="single" w:sz="8" w:space="0" w:color="A2A9B1"/>
            </w:tcBorders>
            <w:shd w:val="clear" w:color="000000" w:fill="F8F9FA"/>
            <w:vAlign w:val="center"/>
            <w:hideMark/>
          </w:tcPr>
          <w:p w14:paraId="65C3CAAB"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1991</w:t>
            </w:r>
          </w:p>
        </w:tc>
        <w:tc>
          <w:tcPr>
            <w:tcW w:w="937" w:type="dxa"/>
            <w:tcBorders>
              <w:top w:val="nil"/>
              <w:left w:val="nil"/>
              <w:bottom w:val="single" w:sz="8" w:space="0" w:color="A2A9B1"/>
              <w:right w:val="single" w:sz="8" w:space="0" w:color="A2A9B1"/>
            </w:tcBorders>
            <w:shd w:val="clear" w:color="000000" w:fill="F8F9FA"/>
            <w:vAlign w:val="center"/>
            <w:hideMark/>
          </w:tcPr>
          <w:p w14:paraId="2342E793"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$21.7 </w:t>
            </w:r>
          </w:p>
        </w:tc>
        <w:tc>
          <w:tcPr>
            <w:tcW w:w="947" w:type="dxa"/>
            <w:tcBorders>
              <w:top w:val="nil"/>
              <w:left w:val="nil"/>
              <w:bottom w:val="single" w:sz="8" w:space="0" w:color="A2A9B1"/>
              <w:right w:val="single" w:sz="8" w:space="0" w:color="A2A9B1"/>
            </w:tcBorders>
            <w:shd w:val="clear" w:color="000000" w:fill="F8F9FA"/>
            <w:vAlign w:val="center"/>
            <w:hideMark/>
          </w:tcPr>
          <w:p w14:paraId="58BAC9FE"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$43 </w:t>
            </w:r>
          </w:p>
        </w:tc>
      </w:tr>
      <w:tr w:rsidR="00EA6F61" w:rsidRPr="00EA6F61" w14:paraId="0773CCCD" w14:textId="77777777" w:rsidTr="009F7309">
        <w:trPr>
          <w:trHeight w:val="3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154A46D6" w14:textId="77777777" w:rsidR="00EA6F61" w:rsidRPr="00EA6F61" w:rsidRDefault="00EA6F61" w:rsidP="00EA6F61">
            <w:pPr>
              <w:spacing w:after="0" w:line="240" w:lineRule="auto"/>
              <w:rPr>
                <w:rFonts w:ascii="Calibri" w:eastAsia="Times New Roman" w:hAnsi="Calibri" w:cs="Calibri"/>
                <w:color w:val="0563C1"/>
                <w:u w:val="single"/>
              </w:rPr>
            </w:pPr>
            <w:hyperlink r:id="rId19" w:tooltip="IndyMac" w:history="1">
              <w:r w:rsidRPr="00EA6F61">
                <w:rPr>
                  <w:rFonts w:ascii="Calibri" w:eastAsia="Times New Roman" w:hAnsi="Calibri" w:cs="Calibri"/>
                  <w:color w:val="0563C1"/>
                  <w:u w:val="single"/>
                </w:rPr>
                <w:t>IndyMac</w:t>
              </w:r>
            </w:hyperlink>
          </w:p>
        </w:tc>
        <w:tc>
          <w:tcPr>
            <w:tcW w:w="1355" w:type="dxa"/>
            <w:tcBorders>
              <w:top w:val="nil"/>
              <w:left w:val="nil"/>
              <w:bottom w:val="single" w:sz="8" w:space="0" w:color="A2A9B1"/>
              <w:right w:val="single" w:sz="8" w:space="0" w:color="A2A9B1"/>
            </w:tcBorders>
            <w:shd w:val="clear" w:color="000000" w:fill="F8F9FA"/>
            <w:vAlign w:val="center"/>
            <w:hideMark/>
          </w:tcPr>
          <w:p w14:paraId="5D8C42BA" w14:textId="77777777" w:rsidR="00EA6F61" w:rsidRPr="00EA6F61" w:rsidRDefault="00EA6F61" w:rsidP="00EA6F61">
            <w:pPr>
              <w:spacing w:after="0" w:line="240" w:lineRule="auto"/>
              <w:rPr>
                <w:rFonts w:ascii="Calibri" w:eastAsia="Times New Roman" w:hAnsi="Calibri" w:cs="Calibri"/>
                <w:color w:val="0563C1"/>
                <w:u w:val="single"/>
              </w:rPr>
            </w:pPr>
            <w:hyperlink r:id="rId20" w:tooltip="California" w:history="1">
              <w:r w:rsidRPr="00EA6F61">
                <w:rPr>
                  <w:rFonts w:ascii="Calibri" w:eastAsia="Times New Roman" w:hAnsi="Calibri" w:cs="Calibri"/>
                  <w:color w:val="0563C1"/>
                  <w:u w:val="single"/>
                </w:rPr>
                <w:t>California</w:t>
              </w:r>
            </w:hyperlink>
          </w:p>
        </w:tc>
        <w:tc>
          <w:tcPr>
            <w:tcW w:w="887" w:type="dxa"/>
            <w:tcBorders>
              <w:top w:val="nil"/>
              <w:left w:val="nil"/>
              <w:bottom w:val="single" w:sz="8" w:space="0" w:color="A2A9B1"/>
              <w:right w:val="single" w:sz="8" w:space="0" w:color="A2A9B1"/>
            </w:tcBorders>
            <w:shd w:val="clear" w:color="000000" w:fill="F8F9FA"/>
            <w:vAlign w:val="center"/>
            <w:hideMark/>
          </w:tcPr>
          <w:p w14:paraId="68E8C23E"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2008</w:t>
            </w:r>
          </w:p>
        </w:tc>
        <w:tc>
          <w:tcPr>
            <w:tcW w:w="937" w:type="dxa"/>
            <w:tcBorders>
              <w:top w:val="nil"/>
              <w:left w:val="nil"/>
              <w:bottom w:val="single" w:sz="8" w:space="0" w:color="A2A9B1"/>
              <w:right w:val="single" w:sz="8" w:space="0" w:color="A2A9B1"/>
            </w:tcBorders>
            <w:shd w:val="clear" w:color="000000" w:fill="F8F9FA"/>
            <w:vAlign w:val="center"/>
            <w:hideMark/>
          </w:tcPr>
          <w:p w14:paraId="4470BB36"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$32.0 </w:t>
            </w:r>
          </w:p>
        </w:tc>
        <w:tc>
          <w:tcPr>
            <w:tcW w:w="947" w:type="dxa"/>
            <w:tcBorders>
              <w:top w:val="nil"/>
              <w:left w:val="nil"/>
              <w:bottom w:val="single" w:sz="8" w:space="0" w:color="A2A9B1"/>
              <w:right w:val="single" w:sz="8" w:space="0" w:color="A2A9B1"/>
            </w:tcBorders>
            <w:shd w:val="clear" w:color="000000" w:fill="F8F9FA"/>
            <w:vAlign w:val="center"/>
            <w:hideMark/>
          </w:tcPr>
          <w:p w14:paraId="33CAD5AB"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$40 </w:t>
            </w:r>
          </w:p>
        </w:tc>
      </w:tr>
      <w:tr w:rsidR="00EA6F61" w:rsidRPr="00EA6F61" w14:paraId="38298A21" w14:textId="77777777" w:rsidTr="009F7309">
        <w:trPr>
          <w:trHeight w:val="3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0084997C" w14:textId="77777777" w:rsidR="00EA6F61" w:rsidRPr="00EA6F61" w:rsidRDefault="00EA6F61" w:rsidP="00EA6F61">
            <w:pPr>
              <w:spacing w:after="0" w:line="240" w:lineRule="auto"/>
              <w:rPr>
                <w:rFonts w:ascii="Calibri" w:eastAsia="Times New Roman" w:hAnsi="Calibri" w:cs="Calibri"/>
                <w:color w:val="0563C1"/>
                <w:u w:val="single"/>
              </w:rPr>
            </w:pPr>
            <w:hyperlink r:id="rId21" w:tooltip="MCorp Bank" w:history="1">
              <w:proofErr w:type="spellStart"/>
              <w:r w:rsidRPr="00EA6F61">
                <w:rPr>
                  <w:rFonts w:ascii="Calibri" w:eastAsia="Times New Roman" w:hAnsi="Calibri" w:cs="Calibri"/>
                  <w:color w:val="0563C1"/>
                  <w:u w:val="single"/>
                </w:rPr>
                <w:t>MCorp</w:t>
              </w:r>
              <w:proofErr w:type="spellEnd"/>
            </w:hyperlink>
          </w:p>
        </w:tc>
        <w:tc>
          <w:tcPr>
            <w:tcW w:w="1355" w:type="dxa"/>
            <w:tcBorders>
              <w:top w:val="nil"/>
              <w:left w:val="nil"/>
              <w:bottom w:val="single" w:sz="8" w:space="0" w:color="A2A9B1"/>
              <w:right w:val="single" w:sz="8" w:space="0" w:color="A2A9B1"/>
            </w:tcBorders>
            <w:shd w:val="clear" w:color="000000" w:fill="F8F9FA"/>
            <w:vAlign w:val="center"/>
            <w:hideMark/>
          </w:tcPr>
          <w:p w14:paraId="7A00E8AF" w14:textId="77777777" w:rsidR="00EA6F61" w:rsidRPr="00EA6F61" w:rsidRDefault="00EA6F61" w:rsidP="00EA6F61">
            <w:pPr>
              <w:spacing w:after="0" w:line="240" w:lineRule="auto"/>
              <w:rPr>
                <w:rFonts w:ascii="Calibri" w:eastAsia="Times New Roman" w:hAnsi="Calibri" w:cs="Calibri"/>
                <w:color w:val="0563C1"/>
                <w:u w:val="single"/>
              </w:rPr>
            </w:pPr>
            <w:hyperlink r:id="rId22" w:tooltip="Texas" w:history="1">
              <w:r w:rsidRPr="00EA6F61">
                <w:rPr>
                  <w:rFonts w:ascii="Calibri" w:eastAsia="Times New Roman" w:hAnsi="Calibri" w:cs="Calibri"/>
                  <w:color w:val="0563C1"/>
                  <w:u w:val="single"/>
                </w:rPr>
                <w:t>Texas</w:t>
              </w:r>
            </w:hyperlink>
          </w:p>
        </w:tc>
        <w:tc>
          <w:tcPr>
            <w:tcW w:w="887" w:type="dxa"/>
            <w:tcBorders>
              <w:top w:val="nil"/>
              <w:left w:val="nil"/>
              <w:bottom w:val="single" w:sz="8" w:space="0" w:color="A2A9B1"/>
              <w:right w:val="single" w:sz="8" w:space="0" w:color="A2A9B1"/>
            </w:tcBorders>
            <w:shd w:val="clear" w:color="000000" w:fill="F8F9FA"/>
            <w:vAlign w:val="center"/>
            <w:hideMark/>
          </w:tcPr>
          <w:p w14:paraId="0FEB7C16"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1989</w:t>
            </w:r>
          </w:p>
        </w:tc>
        <w:tc>
          <w:tcPr>
            <w:tcW w:w="937" w:type="dxa"/>
            <w:tcBorders>
              <w:top w:val="nil"/>
              <w:left w:val="nil"/>
              <w:bottom w:val="single" w:sz="8" w:space="0" w:color="A2A9B1"/>
              <w:right w:val="single" w:sz="8" w:space="0" w:color="A2A9B1"/>
            </w:tcBorders>
            <w:shd w:val="clear" w:color="000000" w:fill="F8F9FA"/>
            <w:vAlign w:val="center"/>
            <w:hideMark/>
          </w:tcPr>
          <w:p w14:paraId="58041668"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$18.5 </w:t>
            </w:r>
          </w:p>
        </w:tc>
        <w:tc>
          <w:tcPr>
            <w:tcW w:w="947" w:type="dxa"/>
            <w:tcBorders>
              <w:top w:val="nil"/>
              <w:left w:val="nil"/>
              <w:bottom w:val="single" w:sz="8" w:space="0" w:color="A2A9B1"/>
              <w:right w:val="single" w:sz="8" w:space="0" w:color="A2A9B1"/>
            </w:tcBorders>
            <w:shd w:val="clear" w:color="000000" w:fill="F8F9FA"/>
            <w:vAlign w:val="center"/>
            <w:hideMark/>
          </w:tcPr>
          <w:p w14:paraId="2FDC7963"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$40 </w:t>
            </w:r>
          </w:p>
        </w:tc>
      </w:tr>
      <w:tr w:rsidR="00EA6F61" w:rsidRPr="00EA6F61" w14:paraId="1BF64961" w14:textId="77777777" w:rsidTr="009F7309">
        <w:trPr>
          <w:trHeight w:val="915"/>
          <w:jc w:val="center"/>
        </w:trPr>
        <w:tc>
          <w:tcPr>
            <w:tcW w:w="1474" w:type="dxa"/>
            <w:tcBorders>
              <w:top w:val="nil"/>
              <w:left w:val="single" w:sz="8" w:space="0" w:color="A2A9B1"/>
              <w:bottom w:val="single" w:sz="8" w:space="0" w:color="A2A9B1"/>
              <w:right w:val="single" w:sz="8" w:space="0" w:color="A2A9B1"/>
            </w:tcBorders>
            <w:shd w:val="clear" w:color="000000" w:fill="EAECF0"/>
            <w:vAlign w:val="center"/>
            <w:hideMark/>
          </w:tcPr>
          <w:p w14:paraId="2CA4F28D" w14:textId="77777777" w:rsidR="00EA6F61" w:rsidRPr="00EA6F61" w:rsidRDefault="00EA6F61" w:rsidP="00EA6F61">
            <w:pPr>
              <w:spacing w:after="0" w:line="240" w:lineRule="auto"/>
              <w:rPr>
                <w:rFonts w:ascii="Calibri" w:eastAsia="Times New Roman" w:hAnsi="Calibri" w:cs="Calibri"/>
                <w:color w:val="0563C1"/>
                <w:u w:val="single"/>
              </w:rPr>
            </w:pPr>
            <w:hyperlink r:id="rId23" w:tooltip="Gibraltar Savings and Loan" w:history="1">
              <w:r w:rsidRPr="00EA6F61">
                <w:rPr>
                  <w:rFonts w:ascii="Calibri" w:eastAsia="Times New Roman" w:hAnsi="Calibri" w:cs="Calibri"/>
                  <w:color w:val="0563C1"/>
                  <w:u w:val="single"/>
                </w:rPr>
                <w:t>Gibraltar Savings and Loan</w:t>
              </w:r>
            </w:hyperlink>
          </w:p>
        </w:tc>
        <w:tc>
          <w:tcPr>
            <w:tcW w:w="1355" w:type="dxa"/>
            <w:tcBorders>
              <w:top w:val="nil"/>
              <w:left w:val="nil"/>
              <w:bottom w:val="single" w:sz="8" w:space="0" w:color="A2A9B1"/>
              <w:right w:val="single" w:sz="8" w:space="0" w:color="A2A9B1"/>
            </w:tcBorders>
            <w:shd w:val="clear" w:color="000000" w:fill="F8F9FA"/>
            <w:vAlign w:val="center"/>
            <w:hideMark/>
          </w:tcPr>
          <w:p w14:paraId="4EF9C78A" w14:textId="77777777" w:rsidR="00EA6F61" w:rsidRPr="00EA6F61" w:rsidRDefault="00EA6F61" w:rsidP="00EA6F61">
            <w:pPr>
              <w:spacing w:after="0" w:line="240" w:lineRule="auto"/>
              <w:rPr>
                <w:rFonts w:ascii="Calibri" w:eastAsia="Times New Roman" w:hAnsi="Calibri" w:cs="Calibri"/>
                <w:color w:val="0563C1"/>
                <w:u w:val="single"/>
              </w:rPr>
            </w:pPr>
            <w:hyperlink r:id="rId24" w:tooltip="California" w:history="1">
              <w:r w:rsidRPr="00EA6F61">
                <w:rPr>
                  <w:rFonts w:ascii="Calibri" w:eastAsia="Times New Roman" w:hAnsi="Calibri" w:cs="Calibri"/>
                  <w:color w:val="0563C1"/>
                  <w:u w:val="single"/>
                </w:rPr>
                <w:t>California</w:t>
              </w:r>
            </w:hyperlink>
          </w:p>
        </w:tc>
        <w:tc>
          <w:tcPr>
            <w:tcW w:w="887" w:type="dxa"/>
            <w:tcBorders>
              <w:top w:val="nil"/>
              <w:left w:val="nil"/>
              <w:bottom w:val="single" w:sz="8" w:space="0" w:color="A2A9B1"/>
              <w:right w:val="single" w:sz="8" w:space="0" w:color="A2A9B1"/>
            </w:tcBorders>
            <w:shd w:val="clear" w:color="000000" w:fill="F8F9FA"/>
            <w:vAlign w:val="center"/>
            <w:hideMark/>
          </w:tcPr>
          <w:p w14:paraId="5F68DB70"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1989</w:t>
            </w:r>
          </w:p>
        </w:tc>
        <w:tc>
          <w:tcPr>
            <w:tcW w:w="937" w:type="dxa"/>
            <w:tcBorders>
              <w:top w:val="nil"/>
              <w:left w:val="nil"/>
              <w:bottom w:val="single" w:sz="8" w:space="0" w:color="A2A9B1"/>
              <w:right w:val="single" w:sz="8" w:space="0" w:color="A2A9B1"/>
            </w:tcBorders>
            <w:shd w:val="clear" w:color="000000" w:fill="F8F9FA"/>
            <w:vAlign w:val="center"/>
            <w:hideMark/>
          </w:tcPr>
          <w:p w14:paraId="54B73D84"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$15.1 </w:t>
            </w:r>
          </w:p>
        </w:tc>
        <w:tc>
          <w:tcPr>
            <w:tcW w:w="947" w:type="dxa"/>
            <w:tcBorders>
              <w:top w:val="nil"/>
              <w:left w:val="nil"/>
              <w:bottom w:val="single" w:sz="8" w:space="0" w:color="A2A9B1"/>
              <w:right w:val="single" w:sz="8" w:space="0" w:color="A2A9B1"/>
            </w:tcBorders>
            <w:shd w:val="clear" w:color="000000" w:fill="F8F9FA"/>
            <w:vAlign w:val="center"/>
            <w:hideMark/>
          </w:tcPr>
          <w:p w14:paraId="14BFC507" w14:textId="77777777" w:rsidR="00EA6F61" w:rsidRPr="00EA6F61" w:rsidRDefault="00EA6F61" w:rsidP="00EA6F61">
            <w:pPr>
              <w:spacing w:after="0" w:line="240" w:lineRule="auto"/>
              <w:jc w:val="right"/>
              <w:rPr>
                <w:rFonts w:ascii="Calibri" w:eastAsia="Times New Roman" w:hAnsi="Calibri" w:cs="Calibri"/>
                <w:color w:val="202122"/>
              </w:rPr>
            </w:pPr>
            <w:r w:rsidRPr="00EA6F61">
              <w:rPr>
                <w:rFonts w:ascii="Calibri" w:eastAsia="Times New Roman" w:hAnsi="Calibri" w:cs="Calibri"/>
                <w:color w:val="202122"/>
              </w:rPr>
              <w:t>$33 </w:t>
            </w:r>
          </w:p>
        </w:tc>
      </w:tr>
    </w:tbl>
    <w:p w14:paraId="7B045B58" w14:textId="77777777" w:rsidR="00EA6F61" w:rsidRDefault="00EA6F61" w:rsidP="00EA6F61"/>
    <w:p w14:paraId="57F7BB6B" w14:textId="7D6098DF" w:rsidR="00D46097" w:rsidRDefault="0086513B" w:rsidP="00EA6F61">
      <w:r>
        <w:lastRenderedPageBreak/>
        <w:t xml:space="preserve">Okay, these failures were big.  In fact, </w:t>
      </w:r>
      <w:r w:rsidR="005E3D71">
        <w:t xml:space="preserve">SVB and Signature bank failures come in at the second and third </w:t>
      </w:r>
      <w:r>
        <w:t xml:space="preserve">on the list </w:t>
      </w:r>
      <w:r w:rsidR="008F2C3F">
        <w:t xml:space="preserve">and, in combination, are almost as large as the holder of first place.  So, the next </w:t>
      </w:r>
      <w:r w:rsidR="00D46097">
        <w:t>point is obviously what should be done about these.</w:t>
      </w:r>
    </w:p>
    <w:p w14:paraId="6213B6B6" w14:textId="5D687A8D" w:rsidR="00E16542" w:rsidRDefault="00D46097" w:rsidP="00EA6F61">
      <w:r>
        <w:t xml:space="preserve">Ordinarily, in the event a bank fails, the </w:t>
      </w:r>
      <w:hyperlink r:id="rId25" w:history="1">
        <w:r w:rsidRPr="00F6369C">
          <w:rPr>
            <w:rStyle w:val="Hyperlink"/>
          </w:rPr>
          <w:t>Federal Deposit Insurance Corporation</w:t>
        </w:r>
      </w:hyperlink>
      <w:r w:rsidR="000D7716">
        <w:t xml:space="preserve"> (</w:t>
      </w:r>
      <w:r>
        <w:t>FDIC)</w:t>
      </w:r>
      <w:r w:rsidR="000D7716">
        <w:t xml:space="preserve"> will step in a restore depositors up to a ceiling amount of $250,000 dollars per account.  But in the case of SVB, reports state that over 90% </w:t>
      </w:r>
      <w:r w:rsidR="00C912A8">
        <w:t>of its depositors were well over th</w:t>
      </w:r>
      <w:r w:rsidR="009C4925">
        <w:t>at mark</w:t>
      </w:r>
      <w:r w:rsidR="0079201C">
        <w:t>, most of the accounts being associated with business t</w:t>
      </w:r>
      <w:r w:rsidR="00767927">
        <w:t>o meet payroll</w:t>
      </w:r>
      <w:r w:rsidR="004372AC">
        <w:t xml:space="preserve">.  However, the US Treasury Department, the FDIC and the Federal Reserve, announced in a joint statement </w:t>
      </w:r>
      <w:hyperlink r:id="rId26" w:history="1">
        <w:r w:rsidR="004372AC" w:rsidRPr="008B6A1B">
          <w:rPr>
            <w:rStyle w:val="Hyperlink"/>
          </w:rPr>
          <w:t>that depositors in both banks would be made whole</w:t>
        </w:r>
      </w:hyperlink>
      <w:r w:rsidR="004372AC">
        <w:t xml:space="preserve">.  </w:t>
      </w:r>
      <w:r w:rsidR="00DC1EF6">
        <w:t xml:space="preserve">Supposedly, this restoration will be done without </w:t>
      </w:r>
      <w:r w:rsidR="0045736F">
        <w:t xml:space="preserve">no cost being passed on </w:t>
      </w:r>
      <w:r w:rsidR="000D6435">
        <w:t>from the financial sector according to</w:t>
      </w:r>
      <w:r w:rsidR="00296CE8">
        <w:t xml:space="preserve"> the article </w:t>
      </w:r>
      <w:hyperlink r:id="rId27" w:history="1">
        <w:r w:rsidR="000D6435" w:rsidRPr="00296CE8">
          <w:rPr>
            <w:rStyle w:val="Hyperlink"/>
            <w:i/>
            <w:iCs/>
          </w:rPr>
          <w:t>U.S. government steps in to shore up deposits at Silicon Valley Bank and another failed institution</w:t>
        </w:r>
      </w:hyperlink>
      <w:r w:rsidR="0045736F">
        <w:t xml:space="preserve"> </w:t>
      </w:r>
      <w:r w:rsidR="00296CE8">
        <w:t>by CBS News</w:t>
      </w:r>
      <w:r w:rsidR="00E16542">
        <w:t>:</w:t>
      </w:r>
    </w:p>
    <w:p w14:paraId="405A19C0" w14:textId="77777777" w:rsidR="00296CE8" w:rsidRDefault="00A01256" w:rsidP="00296CE8">
      <w:pPr>
        <w:pStyle w:val="NoSpacing"/>
      </w:pPr>
      <w:r>
        <w:t>**</w:t>
      </w:r>
    </w:p>
    <w:p w14:paraId="7C3C84E3" w14:textId="1EBDA0CC" w:rsidR="00A01256" w:rsidRDefault="0045736F" w:rsidP="00296CE8">
      <w:pPr>
        <w:pStyle w:val="NoSpacing"/>
      </w:pPr>
      <w:r w:rsidRPr="0045736F">
        <w:t>Depositors with SVB "will have access to all of their money starting Monday, March 13. No losses associated with the resolution of Silicon Valley Bank will be borne by the taxpayer," the statement said</w:t>
      </w:r>
      <w:r w:rsidR="005D03AB">
        <w:t>,</w:t>
      </w:r>
    </w:p>
    <w:p w14:paraId="4A38E382" w14:textId="5887BC9B" w:rsidR="00E16542" w:rsidRDefault="00296CE8" w:rsidP="00296CE8">
      <w:pPr>
        <w:pStyle w:val="NoSpacing"/>
      </w:pPr>
      <w:r>
        <w:t>**</w:t>
      </w:r>
    </w:p>
    <w:p w14:paraId="64742CDE" w14:textId="081AA2FD" w:rsidR="00EA6F61" w:rsidRDefault="006B50B8" w:rsidP="00EA6F61">
      <w:r>
        <w:t>but it is very difficult to see how this can be true.</w:t>
      </w:r>
      <w:r w:rsidR="00327E4F">
        <w:t xml:space="preserve">  Even if the costs are not passed directly onto bank consumers, the financial institutions that supply the funds </w:t>
      </w:r>
      <w:r w:rsidR="00783E18">
        <w:t>will cut back in other areas.  To quote an old adage: there is no such thing as a free lunch.</w:t>
      </w:r>
    </w:p>
    <w:p w14:paraId="67705A46" w14:textId="77777777" w:rsidR="00C76DD7" w:rsidRDefault="00B0197C" w:rsidP="00EA6F61">
      <w:r>
        <w:t>Included in the arguments for making the depositors at these banks whole are the facts that</w:t>
      </w:r>
      <w:r w:rsidR="00C15833">
        <w:t>:</w:t>
      </w:r>
      <w:r>
        <w:t xml:space="preserve"> </w:t>
      </w:r>
      <w:r w:rsidR="00C15833">
        <w:t xml:space="preserve">failures of this size pose a systemic risk to the economy; the depositors, being primarily businesses, need to </w:t>
      </w:r>
      <w:r w:rsidR="001C4BAC">
        <w:t xml:space="preserve">have large sums of liquidity available for payroll, and so can’t </w:t>
      </w:r>
      <w:r w:rsidR="00A0161C">
        <w:t xml:space="preserve">reasonably have accounts below the FDIC maximum; that the depositors weren’t responsible for the </w:t>
      </w:r>
      <w:r w:rsidR="00C76DD7">
        <w:t xml:space="preserve">bank mismanagement, and so on.  </w:t>
      </w:r>
    </w:p>
    <w:p w14:paraId="1123703F" w14:textId="48FFC4A0" w:rsidR="00B0197C" w:rsidRDefault="00C76DD7" w:rsidP="00EA6F61">
      <w:r>
        <w:t xml:space="preserve">I am certainly sympathetic to the arguments concerning the depositors and I am willing to agree that they </w:t>
      </w:r>
      <w:r w:rsidR="001E6B2C">
        <w:t>had no knowledge or culpability in the mismanagement of these institutions and that the $250,000 ceiling, while perhaps viable for a household account, is entirely inadequate for a business.  But I am deeply opposed to the systemic risk argument.</w:t>
      </w:r>
    </w:p>
    <w:p w14:paraId="14327BF2" w14:textId="4BD2F770" w:rsidR="00BF3D0E" w:rsidRDefault="001E6B2C" w:rsidP="00EA6F61">
      <w:r>
        <w:t>T</w:t>
      </w:r>
      <w:r w:rsidR="005330DB">
        <w:t xml:space="preserve">hat type of argument is simply another way of repackaging ‘To Big To Fail’.  A host of moral hazards follow in its train. </w:t>
      </w:r>
      <w:r w:rsidR="00CC47E0">
        <w:t xml:space="preserve">  The first, and maybe most obvious, moral hazard is that making depositors whole </w:t>
      </w:r>
      <w:r w:rsidR="000E609E">
        <w:t xml:space="preserve">lowers the incentive that they, and others like them, will call for societal change in </w:t>
      </w:r>
      <w:r w:rsidR="006F5FEC">
        <w:t xml:space="preserve">how banks are run.  </w:t>
      </w:r>
      <w:r w:rsidR="009D00C7">
        <w:t xml:space="preserve">To give an example of how this lack of incentive might work, consider the fact that for the last </w:t>
      </w:r>
      <w:r w:rsidR="006F5FEC">
        <w:t xml:space="preserve">8 months of its existence </w:t>
      </w:r>
      <w:r w:rsidR="009D00C7">
        <w:t xml:space="preserve">SVB went </w:t>
      </w:r>
      <w:r w:rsidR="006F5FEC">
        <w:t>without a risk manager</w:t>
      </w:r>
      <w:r w:rsidR="005257B0">
        <w:t xml:space="preserve"> and that the regulator</w:t>
      </w:r>
      <w:r w:rsidR="00F60191">
        <w:t xml:space="preserve">s </w:t>
      </w:r>
      <w:r w:rsidR="005257B0">
        <w:t xml:space="preserve">knew </w:t>
      </w:r>
      <w:r w:rsidR="00F60191">
        <w:t xml:space="preserve">that.  If each of the clients are made whole there will be no outcry, no demands, no lawsuits, etc.  It will be </w:t>
      </w:r>
      <w:r w:rsidR="00327E4F">
        <w:t xml:space="preserve">just a quiet return to </w:t>
      </w:r>
      <w:r w:rsidR="00F84D47">
        <w:t>the status quo with no outrage fuel calls for change that might actually work</w:t>
      </w:r>
      <w:r w:rsidR="00A52F61">
        <w:t xml:space="preserve">.  Future institutions will </w:t>
      </w:r>
      <w:r w:rsidR="00BD559A">
        <w:t xml:space="preserve">be given an implicit green light for more risky chicanery while government regulators will be </w:t>
      </w:r>
      <w:r w:rsidR="00466E80">
        <w:t xml:space="preserve">excused from their inaction and invited to being even more hands off.  </w:t>
      </w:r>
    </w:p>
    <w:p w14:paraId="69B9EA8A" w14:textId="1A346678" w:rsidR="005D03AB" w:rsidRDefault="003E6A97" w:rsidP="00EA6F61">
      <w:r>
        <w:t xml:space="preserve">The second, less obvious but more important moral hazard is that bailing out the depositors </w:t>
      </w:r>
      <w:r w:rsidR="0091371A">
        <w:t xml:space="preserve">provides a set of perverse incentives </w:t>
      </w:r>
      <w:r w:rsidR="00E96F03">
        <w:t>concerning their behavior.  B</w:t>
      </w:r>
      <w:r w:rsidR="00E96F03">
        <w:t>ank customers will again be lulled into being ill-informed about the financial institutions that they trust, picking a bank based more on getting a free toaster than on the soundness of the institution (full confession – I never thought about investigating the soundness of a bank until now).</w:t>
      </w:r>
      <w:r w:rsidR="00E96F03">
        <w:t xml:space="preserve">  But far more concerning is that this ‘bailout’ </w:t>
      </w:r>
      <w:r>
        <w:t xml:space="preserve">now provides a </w:t>
      </w:r>
      <w:r w:rsidR="001764FB">
        <w:t xml:space="preserve">strong </w:t>
      </w:r>
      <w:r>
        <w:t>incentive for depositors to</w:t>
      </w:r>
      <w:r w:rsidR="001764FB">
        <w:t xml:space="preserve"> gravitate to the big banks (e.g., Bank of America, Chase, Wells Fargo, </w:t>
      </w:r>
      <w:r w:rsidR="00633B0B">
        <w:t xml:space="preserve">Citi, </w:t>
      </w:r>
      <w:r w:rsidR="00633B0B">
        <w:lastRenderedPageBreak/>
        <w:t>etc.) thinking that there is an implicit governmental promise of being made whole.  This is the very point that Senator Lankford makes in his question of Treasury Secretary Janet Yellen.</w:t>
      </w:r>
    </w:p>
    <w:p w14:paraId="5FACACB1" w14:textId="6EC2315B" w:rsidR="00633B0B" w:rsidRDefault="00633B0B" w:rsidP="00EA6F61">
      <w:r>
        <w:t>**video**</w:t>
      </w:r>
    </w:p>
    <w:p w14:paraId="4A903830" w14:textId="74E8AD4B" w:rsidR="00633B0B" w:rsidRPr="00EA6F61" w:rsidRDefault="00904D55" w:rsidP="00EA6F61">
      <w:r>
        <w:t xml:space="preserve">As depositors being to get that message that ‘To Big To Fail’ benefits them as much as it does the financial firms and regulators, choices in banking will </w:t>
      </w:r>
      <w:r w:rsidR="00B76311">
        <w:t xml:space="preserve">dimmish.  Community banks will begin to disappear and, with what is essentially a regulatory imprimatur, the larger institutions will have no incentives </w:t>
      </w:r>
      <w:r w:rsidR="005570FC">
        <w:t xml:space="preserve">to manage risk.  Eventually, there won’t be enough bailout funds </w:t>
      </w:r>
      <w:r w:rsidR="00F327E9">
        <w:t xml:space="preserve">and the entire system will collapse.  That is the argument against making the depositors whole.  </w:t>
      </w:r>
    </w:p>
    <w:sectPr w:rsidR="00633B0B" w:rsidRPr="00EA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61"/>
    <w:rsid w:val="000D6435"/>
    <w:rsid w:val="000D7716"/>
    <w:rsid w:val="000E609E"/>
    <w:rsid w:val="00144039"/>
    <w:rsid w:val="001764FB"/>
    <w:rsid w:val="001C4BAC"/>
    <w:rsid w:val="001D630F"/>
    <w:rsid w:val="001E6B2C"/>
    <w:rsid w:val="002944DC"/>
    <w:rsid w:val="00296CE8"/>
    <w:rsid w:val="002D4B1F"/>
    <w:rsid w:val="00327E4F"/>
    <w:rsid w:val="003B2C81"/>
    <w:rsid w:val="003C4EDD"/>
    <w:rsid w:val="003E6A97"/>
    <w:rsid w:val="004372AC"/>
    <w:rsid w:val="0045736F"/>
    <w:rsid w:val="00466E80"/>
    <w:rsid w:val="005257B0"/>
    <w:rsid w:val="005330DB"/>
    <w:rsid w:val="005570FC"/>
    <w:rsid w:val="005C0263"/>
    <w:rsid w:val="005D03AB"/>
    <w:rsid w:val="005E3D71"/>
    <w:rsid w:val="00604E1D"/>
    <w:rsid w:val="00633B0B"/>
    <w:rsid w:val="006B50B8"/>
    <w:rsid w:val="006F5FEC"/>
    <w:rsid w:val="00767927"/>
    <w:rsid w:val="00783E18"/>
    <w:rsid w:val="0079201C"/>
    <w:rsid w:val="0086513B"/>
    <w:rsid w:val="008B6A1B"/>
    <w:rsid w:val="008F2C3F"/>
    <w:rsid w:val="00903723"/>
    <w:rsid w:val="00904D55"/>
    <w:rsid w:val="0091371A"/>
    <w:rsid w:val="009C4925"/>
    <w:rsid w:val="009D00C7"/>
    <w:rsid w:val="009F7309"/>
    <w:rsid w:val="00A01256"/>
    <w:rsid w:val="00A01617"/>
    <w:rsid w:val="00A0161C"/>
    <w:rsid w:val="00A52F61"/>
    <w:rsid w:val="00B0197C"/>
    <w:rsid w:val="00B76311"/>
    <w:rsid w:val="00BD559A"/>
    <w:rsid w:val="00BF3D0E"/>
    <w:rsid w:val="00BF7BF1"/>
    <w:rsid w:val="00C15833"/>
    <w:rsid w:val="00C76DD7"/>
    <w:rsid w:val="00C912A8"/>
    <w:rsid w:val="00CC47E0"/>
    <w:rsid w:val="00D46097"/>
    <w:rsid w:val="00DC1EF6"/>
    <w:rsid w:val="00DC29E3"/>
    <w:rsid w:val="00E16542"/>
    <w:rsid w:val="00E96F03"/>
    <w:rsid w:val="00EA6F61"/>
    <w:rsid w:val="00F2744B"/>
    <w:rsid w:val="00F327E9"/>
    <w:rsid w:val="00F60191"/>
    <w:rsid w:val="00F6369C"/>
    <w:rsid w:val="00F8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132D"/>
  <w15:chartTrackingRefBased/>
  <w15:docId w15:val="{98420189-2337-4F6E-930D-EF385AEC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F61"/>
    <w:rPr>
      <w:color w:val="0563C1"/>
      <w:u w:val="single"/>
    </w:rPr>
  </w:style>
  <w:style w:type="character" w:styleId="UnresolvedMention">
    <w:name w:val="Unresolved Mention"/>
    <w:basedOn w:val="DefaultParagraphFont"/>
    <w:uiPriority w:val="99"/>
    <w:semiHidden/>
    <w:unhideWhenUsed/>
    <w:rsid w:val="003B2C81"/>
    <w:rPr>
      <w:color w:val="605E5C"/>
      <w:shd w:val="clear" w:color="auto" w:fill="E1DFDD"/>
    </w:rPr>
  </w:style>
  <w:style w:type="character" w:styleId="FollowedHyperlink">
    <w:name w:val="FollowedHyperlink"/>
    <w:basedOn w:val="DefaultParagraphFont"/>
    <w:uiPriority w:val="99"/>
    <w:semiHidden/>
    <w:unhideWhenUsed/>
    <w:rsid w:val="00E16542"/>
    <w:rPr>
      <w:color w:val="954F72" w:themeColor="followedHyperlink"/>
      <w:u w:val="single"/>
    </w:rPr>
  </w:style>
  <w:style w:type="paragraph" w:styleId="NoSpacing">
    <w:name w:val="No Spacing"/>
    <w:uiPriority w:val="1"/>
    <w:qFormat/>
    <w:rsid w:val="00296C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9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lifornia" TargetMode="External"/><Relationship Id="rId13" Type="http://schemas.openxmlformats.org/officeDocument/2006/relationships/hyperlink" Target="https://en.wikipedia.org/wiki/First_Republic_Bank_Corporation" TargetMode="External"/><Relationship Id="rId18" Type="http://schemas.openxmlformats.org/officeDocument/2006/relationships/hyperlink" Target="https://en.wikipedia.org/wiki/Massachusetts" TargetMode="External"/><Relationship Id="rId26" Type="http://schemas.openxmlformats.org/officeDocument/2006/relationships/hyperlink" Target="https://www.cbsnews.com/news/silicon-valley-bank-deposits-guaranteed-signature-bank-federal-reserve-fdic/" TargetMode="External"/><Relationship Id="rId3" Type="http://schemas.openxmlformats.org/officeDocument/2006/relationships/webSettings" Target="webSettings.xml"/><Relationship Id="rId21" Type="http://schemas.openxmlformats.org/officeDocument/2006/relationships/hyperlink" Target="https://en.wikipedia.org/wiki/MCorp_Bank" TargetMode="External"/><Relationship Id="rId7" Type="http://schemas.openxmlformats.org/officeDocument/2006/relationships/hyperlink" Target="https://en.wikipedia.org/wiki/Silicon_Valley_Bank" TargetMode="External"/><Relationship Id="rId12" Type="http://schemas.openxmlformats.org/officeDocument/2006/relationships/hyperlink" Target="https://en.wikipedia.org/wiki/Illinois" TargetMode="External"/><Relationship Id="rId17" Type="http://schemas.openxmlformats.org/officeDocument/2006/relationships/hyperlink" Target="https://en.wikipedia.org/wiki/Bank_of_New_England" TargetMode="External"/><Relationship Id="rId25" Type="http://schemas.openxmlformats.org/officeDocument/2006/relationships/hyperlink" Target="https://en.wikipedia.org/wiki/Federal_Deposit_Insurance_Corporation" TargetMode="External"/><Relationship Id="rId2" Type="http://schemas.openxmlformats.org/officeDocument/2006/relationships/settings" Target="settings.xml"/><Relationship Id="rId16" Type="http://schemas.openxmlformats.org/officeDocument/2006/relationships/hyperlink" Target="https://en.wikipedia.org/wiki/California" TargetMode="External"/><Relationship Id="rId20" Type="http://schemas.openxmlformats.org/officeDocument/2006/relationships/hyperlink" Target="https://en.wikipedia.org/wiki/California"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Washington_(state)" TargetMode="External"/><Relationship Id="rId11" Type="http://schemas.openxmlformats.org/officeDocument/2006/relationships/hyperlink" Target="https://en.wikipedia.org/wiki/Continental_Illinois_National_Bank_and_Trust" TargetMode="External"/><Relationship Id="rId24" Type="http://schemas.openxmlformats.org/officeDocument/2006/relationships/hyperlink" Target="https://en.wikipedia.org/wiki/California" TargetMode="External"/><Relationship Id="rId5" Type="http://schemas.openxmlformats.org/officeDocument/2006/relationships/hyperlink" Target="https://en.wikipedia.org/wiki/Washington_Mutual" TargetMode="External"/><Relationship Id="rId15" Type="http://schemas.openxmlformats.org/officeDocument/2006/relationships/hyperlink" Target="https://en.wikipedia.org/wiki/American_Savings_and_Loan" TargetMode="External"/><Relationship Id="rId23" Type="http://schemas.openxmlformats.org/officeDocument/2006/relationships/hyperlink" Target="https://en.wikipedia.org/wiki/Gibraltar_Savings_and_Loan" TargetMode="External"/><Relationship Id="rId28" Type="http://schemas.openxmlformats.org/officeDocument/2006/relationships/fontTable" Target="fontTable.xml"/><Relationship Id="rId10" Type="http://schemas.openxmlformats.org/officeDocument/2006/relationships/hyperlink" Target="https://en.wikipedia.org/wiki/New_York_(state)" TargetMode="External"/><Relationship Id="rId19" Type="http://schemas.openxmlformats.org/officeDocument/2006/relationships/hyperlink" Target="https://en.wikipedia.org/wiki/IndyMac" TargetMode="External"/><Relationship Id="rId4" Type="http://schemas.openxmlformats.org/officeDocument/2006/relationships/hyperlink" Target="https://en.wikipedia.org/wiki/List_of_largest_bank_failures_in_the_United_States" TargetMode="External"/><Relationship Id="rId9" Type="http://schemas.openxmlformats.org/officeDocument/2006/relationships/hyperlink" Target="https://en.wikipedia.org/wiki/Signature_Bank" TargetMode="External"/><Relationship Id="rId14" Type="http://schemas.openxmlformats.org/officeDocument/2006/relationships/hyperlink" Target="https://en.wikipedia.org/wiki/Texas" TargetMode="External"/><Relationship Id="rId22" Type="http://schemas.openxmlformats.org/officeDocument/2006/relationships/hyperlink" Target="https://en.wikipedia.org/wiki/Texas" TargetMode="External"/><Relationship Id="rId27" Type="http://schemas.openxmlformats.org/officeDocument/2006/relationships/hyperlink" Target="https://www.cbsnews.com/news/silicon-valley-bank-deposits-guaranteed-signature-bank-federal-reserve-fd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63</cp:revision>
  <dcterms:created xsi:type="dcterms:W3CDTF">2023-04-02T10:31:00Z</dcterms:created>
  <dcterms:modified xsi:type="dcterms:W3CDTF">2023-04-02T14:07:00Z</dcterms:modified>
</cp:coreProperties>
</file>