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1B32" w14:textId="1A9BD960" w:rsidR="006B41EE" w:rsidRDefault="006B41EE">
      <w:r>
        <w:t xml:space="preserve">In his book </w:t>
      </w:r>
      <w:r w:rsidRPr="006B41EE">
        <w:rPr>
          <w:i/>
          <w:iCs/>
        </w:rPr>
        <w:t>How to Lie with Statistics</w:t>
      </w:r>
      <w:r>
        <w:t xml:space="preserve">, Daryl Huff points out that misleading statistics are used so often by members of the fourth estate that it is difficult to truly believe that it is due to happenstance and a poor understanding.  It seems more </w:t>
      </w:r>
      <w:r w:rsidR="008033D0">
        <w:t xml:space="preserve">likely </w:t>
      </w:r>
      <w:r>
        <w:t xml:space="preserve">that the use of misleading statistics to sensationalize is deliberate, although proving it so is impossible.  In this way, there is overlap </w:t>
      </w:r>
      <w:r w:rsidR="0009074D">
        <w:t xml:space="preserve">between his observations </w:t>
      </w:r>
      <w:r>
        <w:t xml:space="preserve">with that old maxim </w:t>
      </w:r>
    </w:p>
    <w:p w14:paraId="7C0D3E26" w14:textId="018D826F" w:rsidR="006D0F80" w:rsidRDefault="006B41EE">
      <w:r>
        <w:t xml:space="preserve">**Once is happenstance.  Twice is coincidence.  Three times is enemy action. – Ian Fleming, Goldfinger** </w:t>
      </w:r>
    </w:p>
    <w:p w14:paraId="68516E8E" w14:textId="34CC6396" w:rsidR="00474534" w:rsidRDefault="006B41EE">
      <w:r>
        <w:t xml:space="preserve">So too goes for the law of </w:t>
      </w:r>
      <w:hyperlink r:id="rId4" w:history="1">
        <w:r w:rsidRPr="006B41EE">
          <w:rPr>
            <w:rStyle w:val="Hyperlink"/>
          </w:rPr>
          <w:t>unintended consequences</w:t>
        </w:r>
      </w:hyperlink>
      <w:r>
        <w:t xml:space="preserve">, where </w:t>
      </w:r>
      <w:r w:rsidR="0009074D">
        <w:t>a</w:t>
      </w:r>
      <w:r w:rsidR="00474534">
        <w:t xml:space="preserve"> new maxim of economics might be read as</w:t>
      </w:r>
    </w:p>
    <w:p w14:paraId="2C94B189" w14:textId="77777777" w:rsidR="00474534" w:rsidRDefault="00474534">
      <w:r>
        <w:t>**Once is happenstance.  Twice is economic ignorance.  Three times is active subversion.**</w:t>
      </w:r>
    </w:p>
    <w:p w14:paraId="4F23F78E" w14:textId="50F4A309" w:rsidR="006B41EE" w:rsidRDefault="00474534">
      <w:r>
        <w:t xml:space="preserve">What brings this grim pronouncement to this month’s column?  Once again, the Wise of Sacramento have created a set of incentives that they claim will help the average California resident, but which </w:t>
      </w:r>
      <w:r w:rsidR="002B5FE3">
        <w:t xml:space="preserve">are subverting </w:t>
      </w:r>
      <w:r w:rsidR="00FF509D">
        <w:t xml:space="preserve">the insurance market in the golden state.  </w:t>
      </w:r>
      <w:r w:rsidR="002B5FE3">
        <w:t>Large insurers are either scaling back (Chubb and AIG</w:t>
      </w:r>
      <w:r w:rsidR="00AE7884">
        <w:t xml:space="preserve">) or are </w:t>
      </w:r>
      <w:r w:rsidR="00A62232">
        <w:t xml:space="preserve">refusing to issue new homeowner policies </w:t>
      </w:r>
      <w:r w:rsidR="00AE74DA">
        <w:t>altogether</w:t>
      </w:r>
      <w:r w:rsidR="002B5FE3">
        <w:t>,</w:t>
      </w:r>
      <w:r w:rsidR="00AE74DA">
        <w:t xml:space="preserve"> as is the case with State Farm and All</w:t>
      </w:r>
      <w:r w:rsidR="00022448">
        <w:t>state, California’s 1</w:t>
      </w:r>
      <w:r w:rsidR="00022448" w:rsidRPr="00022448">
        <w:rPr>
          <w:vertAlign w:val="superscript"/>
        </w:rPr>
        <w:t>st</w:t>
      </w:r>
      <w:r w:rsidR="00022448">
        <w:t xml:space="preserve"> and 4</w:t>
      </w:r>
      <w:r w:rsidR="00022448" w:rsidRPr="00022448">
        <w:rPr>
          <w:vertAlign w:val="superscript"/>
        </w:rPr>
        <w:t>th</w:t>
      </w:r>
      <w:r w:rsidR="00022448">
        <w:t xml:space="preserve"> largest insurers of </w:t>
      </w:r>
      <w:r w:rsidR="00E30451">
        <w:t>residential property.</w:t>
      </w:r>
    </w:p>
    <w:p w14:paraId="57D5D672" w14:textId="1284DE31" w:rsidR="00FD776C" w:rsidRDefault="00FD776C">
      <w:r>
        <w:t xml:space="preserve">To be fair, </w:t>
      </w:r>
      <w:r w:rsidR="00657075">
        <w:t>in their press announcement, State Farm cited three reasons for their discontinuance of ne</w:t>
      </w:r>
      <w:r w:rsidR="008F02DE">
        <w:t xml:space="preserve">w policies: 1) </w:t>
      </w:r>
      <w:r w:rsidR="00EC619E">
        <w:t>increas</w:t>
      </w:r>
      <w:r w:rsidR="00E060F0">
        <w:t>ing wildfire risk</w:t>
      </w:r>
      <w:r w:rsidR="00EC619E">
        <w:t xml:space="preserve">, 2) rising </w:t>
      </w:r>
      <w:r w:rsidR="00E060F0">
        <w:t>home construction prices</w:t>
      </w:r>
      <w:r w:rsidR="00EC619E">
        <w:t xml:space="preserve"> that outstrip inflation, and 3) </w:t>
      </w:r>
      <w:r w:rsidR="008422DF">
        <w:t>a challenging reinsurance market</w:t>
      </w:r>
      <w:r w:rsidR="00E060F0">
        <w:t>.</w:t>
      </w:r>
    </w:p>
    <w:p w14:paraId="4F052943" w14:textId="148F3EB5" w:rsidR="007820A4" w:rsidRDefault="007820A4">
      <w:r>
        <w:t>**image**</w:t>
      </w:r>
    </w:p>
    <w:p w14:paraId="0B8A63C8" w14:textId="539DAE2C" w:rsidR="008F0B39" w:rsidRDefault="00E521F8" w:rsidP="00BE2A74">
      <w:r>
        <w:t xml:space="preserve">Can all of these woes be laid at the feet of governance?  </w:t>
      </w:r>
      <w:r w:rsidR="003605EA">
        <w:t xml:space="preserve">Well, while </w:t>
      </w:r>
      <w:r w:rsidR="000D71B4">
        <w:t>California’s state legislature is not entirely responsible for the first two items</w:t>
      </w:r>
      <w:r w:rsidR="004006FA">
        <w:t>,</w:t>
      </w:r>
      <w:r w:rsidR="000D71B4">
        <w:t xml:space="preserve"> they are certainly not </w:t>
      </w:r>
      <w:r w:rsidR="00BE2A74">
        <w:t>blam</w:t>
      </w:r>
      <w:r w:rsidR="008F0B39">
        <w:t>e</w:t>
      </w:r>
      <w:r w:rsidR="00BE2A74">
        <w:t xml:space="preserve">less.  </w:t>
      </w:r>
    </w:p>
    <w:p w14:paraId="51FEDD6D" w14:textId="58F618BF" w:rsidR="00D066F0" w:rsidRDefault="008F0B39" w:rsidP="00BE2A74">
      <w:r>
        <w:t xml:space="preserve">In his </w:t>
      </w:r>
      <w:r>
        <w:t xml:space="preserve">article </w:t>
      </w:r>
      <w:hyperlink r:id="rId5" w:history="1">
        <w:r w:rsidRPr="00ED1D75">
          <w:rPr>
            <w:rStyle w:val="Hyperlink"/>
            <w:i/>
            <w:iCs/>
          </w:rPr>
          <w:t xml:space="preserve">Of Course Home Insurers Are Fleeing </w:t>
        </w:r>
        <w:r w:rsidRPr="00ED1D75">
          <w:rPr>
            <w:rStyle w:val="Hyperlink"/>
            <w:i/>
            <w:iCs/>
          </w:rPr>
          <w:t>C</w:t>
        </w:r>
        <w:r w:rsidRPr="00ED1D75">
          <w:rPr>
            <w:rStyle w:val="Hyperlink"/>
            <w:i/>
            <w:iCs/>
          </w:rPr>
          <w:t>alifornia</w:t>
        </w:r>
      </w:hyperlink>
      <w:r>
        <w:t xml:space="preserve">, </w:t>
      </w:r>
      <w:r w:rsidRPr="00BF708E">
        <w:t>Mark Gongloff</w:t>
      </w:r>
      <w:r>
        <w:t>, of Bloomberg, points out that</w:t>
      </w:r>
      <w:r w:rsidR="00B53AA9">
        <w:t xml:space="preserve"> </w:t>
      </w:r>
      <w:r w:rsidR="00232846">
        <w:t xml:space="preserve">California </w:t>
      </w:r>
      <w:r w:rsidR="0099451D">
        <w:t xml:space="preserve">‘NIMBYism’ </w:t>
      </w:r>
      <w:r w:rsidR="00232846">
        <w:t xml:space="preserve">has driven </w:t>
      </w:r>
      <w:r w:rsidR="0099451D" w:rsidRPr="0099451D">
        <w:t xml:space="preserve">non-affluent </w:t>
      </w:r>
      <w:r w:rsidR="00232846">
        <w:t xml:space="preserve">residents to build in higher risk areas.  </w:t>
      </w:r>
      <w:r w:rsidR="00BF68A4">
        <w:t>Once these homeowners are established</w:t>
      </w:r>
      <w:r w:rsidR="004006FA">
        <w:t xml:space="preserve"> in this high-risk zones</w:t>
      </w:r>
      <w:r w:rsidR="00BF68A4">
        <w:t xml:space="preserve">, the state does little to protect them from </w:t>
      </w:r>
      <w:r w:rsidR="004F21A8">
        <w:t>wildfire</w:t>
      </w:r>
      <w:r w:rsidR="004006FA">
        <w:t>s</w:t>
      </w:r>
      <w:r w:rsidR="004F21A8">
        <w:t xml:space="preserve"> as t</w:t>
      </w:r>
      <w:r w:rsidR="00BE2A74">
        <w:t xml:space="preserve">he </w:t>
      </w:r>
      <w:r w:rsidR="00EF2761">
        <w:t xml:space="preserve">CNBC’s host of the </w:t>
      </w:r>
      <w:r w:rsidR="00BE2A74">
        <w:t xml:space="preserve">discussion and analysis in </w:t>
      </w:r>
      <w:r w:rsidR="00EF2761">
        <w:t xml:space="preserve">the video </w:t>
      </w:r>
      <w:hyperlink r:id="rId6" w:history="1">
        <w:r w:rsidR="00BE2A74" w:rsidRPr="00E66E35">
          <w:rPr>
            <w:rStyle w:val="Hyperlink"/>
            <w:i/>
            <w:iCs/>
          </w:rPr>
          <w:t>Insurance is the effect not the cause, says III CEO Kevelighan on State Farm's California decision</w:t>
        </w:r>
      </w:hyperlink>
      <w:r w:rsidR="00BE2A74">
        <w:t xml:space="preserve"> </w:t>
      </w:r>
      <w:r w:rsidR="005A2B94">
        <w:t>points out</w:t>
      </w:r>
      <w:r w:rsidR="004F21A8">
        <w:t>:</w:t>
      </w:r>
    </w:p>
    <w:p w14:paraId="5AC0429E" w14:textId="77777777" w:rsidR="00D066F0" w:rsidRDefault="00D066F0" w:rsidP="00AD3EEA">
      <w:r>
        <w:t>**video**</w:t>
      </w:r>
    </w:p>
    <w:p w14:paraId="5FDD8991" w14:textId="2A56454A" w:rsidR="0094211E" w:rsidRDefault="0094211E" w:rsidP="00AD3EEA">
      <w:r>
        <w:t>Regarding the construction costs</w:t>
      </w:r>
      <w:r w:rsidR="003059B1">
        <w:t xml:space="preserve"> </w:t>
      </w:r>
      <w:r w:rsidR="003A12D2">
        <w:t xml:space="preserve">Gongloff points out that </w:t>
      </w:r>
    </w:p>
    <w:p w14:paraId="5600E86F" w14:textId="7F41BE0E" w:rsidR="00AF0782" w:rsidRDefault="00AF0782" w:rsidP="00AD3EEA">
      <w:r>
        <w:t>**</w:t>
      </w:r>
      <w:r w:rsidRPr="00AF0782">
        <w:t xml:space="preserve"> </w:t>
      </w:r>
      <w:r>
        <w:t>the only people who can build or rebuild in such places are those wealthy enough to afford skyrocketing premiums and fire-resistant construction materials and techniques. The result is “gentrification by fire,” as the Washington Post termed it.</w:t>
      </w:r>
      <w:r>
        <w:t>**</w:t>
      </w:r>
    </w:p>
    <w:p w14:paraId="4A185F53" w14:textId="48A32CD9" w:rsidR="003D79FB" w:rsidRDefault="003D79FB" w:rsidP="00AD3EEA">
      <w:r>
        <w:t>This, in effect, favors higher-end construction costs state-wide</w:t>
      </w:r>
      <w:r w:rsidR="00294155">
        <w:t xml:space="preserve">, an outcome that Sacramento seems quite content to ignore.  </w:t>
      </w:r>
    </w:p>
    <w:p w14:paraId="5C5AE8DD" w14:textId="0C1FFD89" w:rsidR="004C0922" w:rsidRDefault="00A170C6" w:rsidP="004C0922">
      <w:r>
        <w:t xml:space="preserve">But the most damning indictment </w:t>
      </w:r>
      <w:r w:rsidR="00B70DA1">
        <w:t>against California governance i</w:t>
      </w:r>
      <w:r w:rsidR="009200BE">
        <w:t xml:space="preserve">s </w:t>
      </w:r>
      <w:r w:rsidR="004C0922">
        <w:t>it</w:t>
      </w:r>
      <w:r w:rsidR="00C551A4">
        <w:t>s</w:t>
      </w:r>
      <w:r w:rsidR="004C0922">
        <w:t xml:space="preserve"> insane regulatory structure.</w:t>
      </w:r>
      <w:r w:rsidR="00C551A4">
        <w:t xml:space="preserve">  While the </w:t>
      </w:r>
      <w:r w:rsidR="004C0922">
        <w:t xml:space="preserve">state legislature </w:t>
      </w:r>
      <w:r w:rsidR="00C551A4">
        <w:t xml:space="preserve">does little to </w:t>
      </w:r>
      <w:r w:rsidR="002751DE">
        <w:t xml:space="preserve">curb </w:t>
      </w:r>
      <w:r w:rsidR="00C551A4">
        <w:t>estate develop</w:t>
      </w:r>
      <w:r w:rsidR="002751DE">
        <w:t>ment c</w:t>
      </w:r>
      <w:r w:rsidR="00A839BB">
        <w:t xml:space="preserve">osts it </w:t>
      </w:r>
      <w:r w:rsidR="004C0922">
        <w:t>seems quite comfortable in exercising its regulatory muscle to force insurance companies to</w:t>
      </w:r>
      <w:r w:rsidR="002751DE">
        <w:t xml:space="preserve"> keep costs artificially low</w:t>
      </w:r>
      <w:r w:rsidR="004C0922">
        <w:t>.</w:t>
      </w:r>
    </w:p>
    <w:p w14:paraId="1E440669" w14:textId="00198FFE" w:rsidR="00CF6176" w:rsidRDefault="00CF6176" w:rsidP="00CF6176">
      <w:r>
        <w:t xml:space="preserve">In her article </w:t>
      </w:r>
      <w:hyperlink r:id="rId7" w:history="1">
        <w:r w:rsidRPr="00C50EAB">
          <w:rPr>
            <w:rStyle w:val="Hyperlink"/>
            <w:i/>
            <w:iCs/>
          </w:rPr>
          <w:t>Why insurance com</w:t>
        </w:r>
        <w:r w:rsidRPr="00C50EAB">
          <w:rPr>
            <w:rStyle w:val="Hyperlink"/>
            <w:i/>
            <w:iCs/>
          </w:rPr>
          <w:t>p</w:t>
        </w:r>
        <w:r w:rsidRPr="00C50EAB">
          <w:rPr>
            <w:rStyle w:val="Hyperlink"/>
            <w:i/>
            <w:iCs/>
          </w:rPr>
          <w:t>anies are pulling out of California and Florida, and how to fix some of the underlying problems</w:t>
        </w:r>
      </w:hyperlink>
      <w:r>
        <w:t>, Melanie Gall, Co-Director of the Center for Emergency Management and Homeland Security, Arizona State University</w:t>
      </w:r>
      <w:r>
        <w:t xml:space="preserve">, </w:t>
      </w:r>
      <w:r>
        <w:t>pose</w:t>
      </w:r>
      <w:r>
        <w:t>s</w:t>
      </w:r>
      <w:r>
        <w:t xml:space="preserve"> the question</w:t>
      </w:r>
    </w:p>
    <w:p w14:paraId="32B6A9C3" w14:textId="77777777" w:rsidR="00CF6176" w:rsidRDefault="00CF6176" w:rsidP="00CF6176">
      <w:r>
        <w:lastRenderedPageBreak/>
        <w:t>**</w:t>
      </w:r>
      <w:r w:rsidRPr="006A459A">
        <w:t xml:space="preserve"> </w:t>
      </w:r>
      <w:r>
        <w:t>So, why did State Farm and Allstate only stop new policies in California and not in other wildfire-prone states like Colorado or Arizona?**</w:t>
      </w:r>
    </w:p>
    <w:p w14:paraId="7BCCF13B" w14:textId="6C3126D7" w:rsidR="00BD60A7" w:rsidRDefault="00872CFD" w:rsidP="003059B1">
      <w:r>
        <w:t>The obvious answer to this is California’s proposition 103</w:t>
      </w:r>
      <w:r w:rsidR="00DB6459">
        <w:t xml:space="preserve"> that limits premium increases to homeowners</w:t>
      </w:r>
      <w:r w:rsidR="005C596D">
        <w:t>,</w:t>
      </w:r>
      <w:r w:rsidR="001245D1">
        <w:t xml:space="preserve"> </w:t>
      </w:r>
      <w:r w:rsidR="001245D1">
        <w:t>prohibit policy cancellations and require certain levels of coverage</w:t>
      </w:r>
      <w:r w:rsidR="001245D1">
        <w:t xml:space="preserve">, all of which </w:t>
      </w:r>
      <w:r w:rsidR="005C596D">
        <w:t>effectively eliminat</w:t>
      </w:r>
      <w:r w:rsidR="001245D1">
        <w:t xml:space="preserve">e </w:t>
      </w:r>
      <w:r w:rsidR="005C596D">
        <w:t>ways in which the insurers can mitigate risk</w:t>
      </w:r>
      <w:r w:rsidR="001245D1">
        <w:t xml:space="preserve"> from the consumer side.</w:t>
      </w:r>
    </w:p>
    <w:p w14:paraId="7A9F1F86" w14:textId="77777777" w:rsidR="00FD6623" w:rsidRDefault="00282CD1" w:rsidP="005C596D">
      <w:r>
        <w:t xml:space="preserve">According to </w:t>
      </w:r>
      <w:r w:rsidR="005C596D">
        <w:t>Gall</w:t>
      </w:r>
      <w:r>
        <w:t xml:space="preserve">, </w:t>
      </w:r>
      <w:r w:rsidR="00E95308">
        <w:t xml:space="preserve">the chief executive of the insurance company Chubb’s </w:t>
      </w:r>
    </w:p>
    <w:p w14:paraId="56BF4FEA" w14:textId="465E07EB" w:rsidR="005C596D" w:rsidRDefault="005C596D" w:rsidP="005C596D">
      <w:r>
        <w:t>**</w:t>
      </w:r>
      <w:r w:rsidR="00282CD1">
        <w:t>…</w:t>
      </w:r>
      <w:r>
        <w:t>mention</w:t>
      </w:r>
      <w:r w:rsidR="00FD6623">
        <w:t>ed</w:t>
      </w:r>
      <w:r>
        <w:t xml:space="preserve"> restrictions that left it </w:t>
      </w:r>
      <w:hyperlink r:id="rId8" w:history="1">
        <w:r>
          <w:rPr>
            <w:rStyle w:val="Hyperlink"/>
          </w:rPr>
          <w:t>unable to charge</w:t>
        </w:r>
      </w:hyperlink>
      <w:r>
        <w:t xml:space="preserve"> “an adequate price for the risk” as part of the reason for its 2022 decision to not renew policies for expensive homes in high-risk areas of California.**</w:t>
      </w:r>
    </w:p>
    <w:p w14:paraId="207E1E97" w14:textId="3DFCC6F0" w:rsidR="004C79EC" w:rsidRDefault="004C79EC" w:rsidP="003059B1">
      <w:r>
        <w:t xml:space="preserve">Steve Forbes, in his video </w:t>
      </w:r>
      <w:hyperlink r:id="rId9" w:history="1">
        <w:r w:rsidRPr="00E72FFF">
          <w:rPr>
            <w:rStyle w:val="Hyperlink"/>
            <w:i/>
            <w:iCs/>
          </w:rPr>
          <w:t>California's Insurance Catastrophe Explained—How Government Caused Another Crisis | What's Ahead</w:t>
        </w:r>
      </w:hyperlink>
      <w:r>
        <w:t xml:space="preserve">, </w:t>
      </w:r>
      <w:r w:rsidR="00FD6623">
        <w:t>puts the matter much more forcefully</w:t>
      </w:r>
      <w:r w:rsidR="007371AE">
        <w:t xml:space="preserve">, blaming the </w:t>
      </w:r>
      <w:r w:rsidR="00443285">
        <w:t>regulatory structure imposed on the states insurers</w:t>
      </w:r>
      <w:r w:rsidR="00DB3137">
        <w:t xml:space="preserve"> </w:t>
      </w:r>
      <w:r w:rsidR="007371AE">
        <w:t xml:space="preserve">as </w:t>
      </w:r>
      <w:r w:rsidR="00DB3137">
        <w:t>keep</w:t>
      </w:r>
      <w:r w:rsidR="007371AE">
        <w:t>ing</w:t>
      </w:r>
      <w:r w:rsidR="00DB3137">
        <w:t xml:space="preserve"> premiums artificially low.</w:t>
      </w:r>
    </w:p>
    <w:p w14:paraId="31440F9C" w14:textId="004344D8" w:rsidR="00443285" w:rsidRDefault="00D404A2" w:rsidP="003059B1">
      <w:r>
        <w:t>**video**</w:t>
      </w:r>
    </w:p>
    <w:p w14:paraId="30CF4B0D" w14:textId="517B5F8F" w:rsidR="00DB3137" w:rsidRDefault="00DB3137" w:rsidP="00DB3137">
      <w:r>
        <w:t xml:space="preserve">This sentiment is shared by </w:t>
      </w:r>
      <w:r>
        <w:t>Gongloff</w:t>
      </w:r>
      <w:r>
        <w:t xml:space="preserve">, who writes that </w:t>
      </w:r>
    </w:p>
    <w:p w14:paraId="1B7EF696" w14:textId="77777777" w:rsidR="00DB3137" w:rsidRDefault="00DB3137" w:rsidP="00DB3137">
      <w:r>
        <w:t>**</w:t>
      </w:r>
      <w:r w:rsidRPr="00876AFC">
        <w:t xml:space="preserve"> </w:t>
      </w:r>
      <w:r>
        <w:t>California has one of the lowest home-insurance rates in the country, as a percentage of median household income — less than Georgia and West Virginia, according to Bankrate data.**</w:t>
      </w:r>
    </w:p>
    <w:p w14:paraId="76B8C8A3" w14:textId="618457B1" w:rsidR="00443285" w:rsidRDefault="00F73202" w:rsidP="003059B1">
      <w:r w:rsidRPr="00F73202">
        <w:t>Insurance Information Institute CEO</w:t>
      </w:r>
      <w:r>
        <w:t xml:space="preserve">, </w:t>
      </w:r>
      <w:r w:rsidRPr="00F73202">
        <w:t>Sean Kevelighan</w:t>
      </w:r>
      <w:r w:rsidR="00860C9E">
        <w:t xml:space="preserve">, in a clip from the CNBC video cited above, </w:t>
      </w:r>
      <w:r w:rsidR="00D404A2">
        <w:t xml:space="preserve">lists </w:t>
      </w:r>
      <w:r w:rsidR="00324B36">
        <w:t xml:space="preserve">the </w:t>
      </w:r>
      <w:r w:rsidR="00860C9E">
        <w:t xml:space="preserve">numerous issues </w:t>
      </w:r>
      <w:r w:rsidR="00324B36">
        <w:t xml:space="preserve">that Proposition 103 </w:t>
      </w:r>
      <w:r w:rsidR="009176ED">
        <w:t>turns a blind eye to.</w:t>
      </w:r>
    </w:p>
    <w:p w14:paraId="144A13BE" w14:textId="1BBEE400" w:rsidR="00D404A2" w:rsidRDefault="00D404A2" w:rsidP="003059B1">
      <w:r>
        <w:t>**video**</w:t>
      </w:r>
    </w:p>
    <w:p w14:paraId="10243828" w14:textId="73C5BA22" w:rsidR="007A718A" w:rsidRDefault="007A718A" w:rsidP="003059B1">
      <w:r>
        <w:t xml:space="preserve">The damage caused by California’s heavy-handed regulatory structure doesn’t end there.  As Gall points out, </w:t>
      </w:r>
    </w:p>
    <w:p w14:paraId="609491CC" w14:textId="1807DD06" w:rsidR="001A529C" w:rsidRDefault="007A718A" w:rsidP="00AD3EEA">
      <w:r>
        <w:t>**</w:t>
      </w:r>
      <w:r w:rsidR="001A529C">
        <w:t>California also has a unique “</w:t>
      </w:r>
      <w:hyperlink r:id="rId10" w:history="1">
        <w:r w:rsidR="001A529C">
          <w:rPr>
            <w:rStyle w:val="Hyperlink"/>
          </w:rPr>
          <w:t>efficient proximate cause” rule</w:t>
        </w:r>
      </w:hyperlink>
      <w:r w:rsidR="001A529C">
        <w:t xml:space="preserve"> that forces property insurers to also cover post-fire flooding, such as mudslides. Rainy winters like 2023’s often </w:t>
      </w:r>
      <w:hyperlink r:id="rId11" w:history="1">
        <w:r w:rsidR="001A529C">
          <w:rPr>
            <w:rStyle w:val="Hyperlink"/>
          </w:rPr>
          <w:t>trigger destructive mudslides</w:t>
        </w:r>
      </w:hyperlink>
      <w:r w:rsidR="001A529C">
        <w:t xml:space="preserve"> in wildfire burn areas.</w:t>
      </w:r>
      <w:r>
        <w:t>**</w:t>
      </w:r>
    </w:p>
    <w:p w14:paraId="15A965F1" w14:textId="77777777" w:rsidR="00CD57A5" w:rsidRDefault="007A718A" w:rsidP="00AD3EEA">
      <w:r>
        <w:t xml:space="preserve">The consequences </w:t>
      </w:r>
      <w:r w:rsidR="00DE0E73">
        <w:t xml:space="preserve">(unintended or otherwise) </w:t>
      </w:r>
      <w:r>
        <w:t xml:space="preserve">of such perverse incentives </w:t>
      </w:r>
      <w:r w:rsidR="00DE0E73">
        <w:t xml:space="preserve">is that insurance companies know full well the actuarial risk they are being forced to take but can do little to share that risk with the home owner.  As a result, they </w:t>
      </w:r>
      <w:r w:rsidR="00632367">
        <w:t xml:space="preserve">are also impeded in getting </w:t>
      </w:r>
      <w:hyperlink r:id="rId12" w:history="1">
        <w:r w:rsidR="00CD57A5" w:rsidRPr="00857908">
          <w:rPr>
            <w:rStyle w:val="Hyperlink"/>
          </w:rPr>
          <w:t>reinsurance</w:t>
        </w:r>
      </w:hyperlink>
      <w:r w:rsidR="00CD57A5">
        <w:t xml:space="preserve">, which Investopia defines as </w:t>
      </w:r>
      <w:r w:rsidR="00CD57A5" w:rsidRPr="00D45AE2">
        <w:t xml:space="preserve">insurance for insurers, </w:t>
      </w:r>
      <w:r w:rsidR="00CD57A5" w:rsidRPr="00DF17EB">
        <w:t xml:space="preserve">which </w:t>
      </w:r>
      <w:r w:rsidR="00CD57A5" w:rsidRPr="00D45AE2">
        <w:t>transfers risk to another company to reduce the likelihood of large payouts for a claim</w:t>
      </w:r>
      <w:r w:rsidR="00CD57A5" w:rsidRPr="00DF17EB">
        <w:t>, thereby allowing insurers to remain solvent by recovering all or part of a payout.</w:t>
      </w:r>
    </w:p>
    <w:p w14:paraId="3461A1BC" w14:textId="17C60F42" w:rsidR="00AD3EEA" w:rsidRDefault="00AD3EEA" w:rsidP="00AD3EEA">
      <w:r>
        <w:t>Gall</w:t>
      </w:r>
      <w:r w:rsidR="00CD57A5">
        <w:t xml:space="preserve"> </w:t>
      </w:r>
      <w:r>
        <w:t>cites the rising costs of reinsurance by noting that</w:t>
      </w:r>
    </w:p>
    <w:p w14:paraId="20868829" w14:textId="77777777" w:rsidR="00AD3EEA" w:rsidRDefault="00AD3EEA" w:rsidP="00AD3EEA">
      <w:r>
        <w:t>**</w:t>
      </w:r>
      <w:r w:rsidRPr="004135A6">
        <w:t>Reinsurers’ risk-adjusted property-catastrophe prices rose 33% on average at their June 1, 2023, renewal, after a 25% rise in 2022, according to reinsurance broker Howden Tiger’s analysis.</w:t>
      </w:r>
      <w:r>
        <w:t>**</w:t>
      </w:r>
    </w:p>
    <w:p w14:paraId="0A10E12E" w14:textId="77777777" w:rsidR="001002BE" w:rsidRDefault="00AA3D24" w:rsidP="00AD3EEA">
      <w:r>
        <w:t>And</w:t>
      </w:r>
      <w:r w:rsidR="005B7C53">
        <w:t>,</w:t>
      </w:r>
      <w:r>
        <w:t xml:space="preserve"> so</w:t>
      </w:r>
      <w:r w:rsidR="005B7C53">
        <w:t>,</w:t>
      </w:r>
      <w:r>
        <w:t xml:space="preserve"> we find that rather than expose themselves to additional risk that could conceivable bankrupt the company</w:t>
      </w:r>
      <w:r w:rsidR="00A12E15">
        <w:t xml:space="preserve">, insurers are simply opting out.  The consequences of this move are far-reaching.  </w:t>
      </w:r>
      <w:r w:rsidR="005B7C53">
        <w:t xml:space="preserve">This leaves California as the insurer of last resort through their </w:t>
      </w:r>
      <w:hyperlink r:id="rId13" w:history="1">
        <w:r w:rsidR="005B7C53" w:rsidRPr="00D312AF">
          <w:rPr>
            <w:rStyle w:val="Hyperlink"/>
          </w:rPr>
          <w:t>FAIR plan</w:t>
        </w:r>
      </w:hyperlink>
      <w:r w:rsidR="00D312AF">
        <w:t xml:space="preserve">, which provides </w:t>
      </w:r>
      <w:r w:rsidR="00385E28">
        <w:t xml:space="preserve">basic fire insurance </w:t>
      </w:r>
      <w:r w:rsidR="001002BE">
        <w:t>coverage for properties that can’t secure policies through traditional means</w:t>
      </w:r>
      <w:r w:rsidR="005B7C53">
        <w:t xml:space="preserve">. </w:t>
      </w:r>
    </w:p>
    <w:p w14:paraId="1819CD5A" w14:textId="77777777" w:rsidR="001002BE" w:rsidRDefault="001002BE" w:rsidP="00AD3EEA"/>
    <w:p w14:paraId="6355F129" w14:textId="77777777" w:rsidR="00374238" w:rsidRDefault="001002BE" w:rsidP="00AD3EEA">
      <w:r>
        <w:t xml:space="preserve">Once again, Steve Forbes pulls no punches in his assessment of the </w:t>
      </w:r>
      <w:r w:rsidR="00374238">
        <w:t>scope and financial soundness of the FAIR plan.</w:t>
      </w:r>
    </w:p>
    <w:p w14:paraId="1F0DFED0" w14:textId="0B5E989C" w:rsidR="00AA3D24" w:rsidRDefault="00374238" w:rsidP="00AD3EEA">
      <w:r>
        <w:t>**video**</w:t>
      </w:r>
      <w:r w:rsidR="005B7C53">
        <w:t xml:space="preserve"> </w:t>
      </w:r>
    </w:p>
    <w:p w14:paraId="5EF6764E" w14:textId="4E446B73" w:rsidR="00B04407" w:rsidRDefault="00970993" w:rsidP="00D20BE3">
      <w:r>
        <w:t>Of course, one might think tha</w:t>
      </w:r>
      <w:r w:rsidR="00A70FC1">
        <w:t xml:space="preserve">t Sacramento would change course when confronted with all of this overwhelming evidence of how </w:t>
      </w:r>
      <w:r w:rsidR="00684186">
        <w:t xml:space="preserve">California’s regulatory structure is causing more harm than good.  But, one would be wrong.  The </w:t>
      </w:r>
      <w:r w:rsidR="00684E5C">
        <w:t xml:space="preserve">prevailing </w:t>
      </w:r>
      <w:r w:rsidR="00684186">
        <w:t xml:space="preserve">sentiment </w:t>
      </w:r>
      <w:r w:rsidR="00684E5C">
        <w:t>seems to be one in which ‘greedy’ businesses are blamed for not being good corporate citizens and m</w:t>
      </w:r>
      <w:r w:rsidR="00D20BE3">
        <w:t xml:space="preserve">ust be </w:t>
      </w:r>
      <w:r w:rsidR="00B66297">
        <w:t>force</w:t>
      </w:r>
      <w:r w:rsidR="00D20BE3">
        <w:t>d</w:t>
      </w:r>
      <w:r w:rsidR="00B66297">
        <w:t xml:space="preserve"> businesses into doing things against their financial well-being</w:t>
      </w:r>
      <w:r w:rsidR="00D20BE3">
        <w:t xml:space="preserve">, as </w:t>
      </w:r>
      <w:r w:rsidR="00BF708E">
        <w:t>Gongloff notes</w:t>
      </w:r>
      <w:r w:rsidR="00D20BE3">
        <w:t>:</w:t>
      </w:r>
      <w:r w:rsidR="00BF708E">
        <w:t xml:space="preserve"> </w:t>
      </w:r>
    </w:p>
    <w:p w14:paraId="34BA95D5" w14:textId="52384CA7" w:rsidR="00BF708E" w:rsidRDefault="00BF708E">
      <w:r>
        <w:t>**</w:t>
      </w:r>
      <w:r w:rsidR="00F47B1E" w:rsidRPr="00F47B1E">
        <w:t xml:space="preserve"> </w:t>
      </w:r>
      <w:r w:rsidR="00F47B1E">
        <w:t>The advocacy group Consumer Watchdog demanded that state Insurance Commissioner Ricardo Lara drag State Farm back into the market, claiming he has the authority under California’s Proposition 103.</w:t>
      </w:r>
      <w:r w:rsidR="00F47B1E">
        <w:t>**</w:t>
      </w:r>
    </w:p>
    <w:p w14:paraId="6A3B8FD8" w14:textId="7C6071E6" w:rsidR="00A53DD5" w:rsidRDefault="00BD77DD">
      <w:r>
        <w:t>Sadly, this debacle is only one battle in an ongoing</w:t>
      </w:r>
      <w:r w:rsidR="00FD6D00">
        <w:t>, subversive</w:t>
      </w:r>
      <w:r>
        <w:t xml:space="preserve"> war </w:t>
      </w:r>
      <w:r w:rsidR="00A52486">
        <w:t xml:space="preserve">which California governance </w:t>
      </w:r>
      <w:r w:rsidR="001079A8">
        <w:t>seems to be waging against common sense and the citizens of a once great state.  Enemy action indeed.</w:t>
      </w:r>
    </w:p>
    <w:sectPr w:rsidR="00A5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EE"/>
    <w:rsid w:val="00022448"/>
    <w:rsid w:val="000405C3"/>
    <w:rsid w:val="00064AEA"/>
    <w:rsid w:val="0009074D"/>
    <w:rsid w:val="000964CD"/>
    <w:rsid w:val="000B5E76"/>
    <w:rsid w:val="000D2B83"/>
    <w:rsid w:val="000D71B4"/>
    <w:rsid w:val="001002BE"/>
    <w:rsid w:val="001079A8"/>
    <w:rsid w:val="001245D1"/>
    <w:rsid w:val="001346F5"/>
    <w:rsid w:val="00146FD2"/>
    <w:rsid w:val="00150D24"/>
    <w:rsid w:val="001529FA"/>
    <w:rsid w:val="001663FE"/>
    <w:rsid w:val="001761CD"/>
    <w:rsid w:val="00193A44"/>
    <w:rsid w:val="001A529C"/>
    <w:rsid w:val="001F2FB7"/>
    <w:rsid w:val="002050F5"/>
    <w:rsid w:val="00220681"/>
    <w:rsid w:val="00232846"/>
    <w:rsid w:val="00257F10"/>
    <w:rsid w:val="002751DE"/>
    <w:rsid w:val="00282CD1"/>
    <w:rsid w:val="00294155"/>
    <w:rsid w:val="00295121"/>
    <w:rsid w:val="002A3C7E"/>
    <w:rsid w:val="002B5FE3"/>
    <w:rsid w:val="002C1C20"/>
    <w:rsid w:val="002C4A75"/>
    <w:rsid w:val="002F53DB"/>
    <w:rsid w:val="003059B1"/>
    <w:rsid w:val="00324B36"/>
    <w:rsid w:val="003605EA"/>
    <w:rsid w:val="00367DE0"/>
    <w:rsid w:val="00374238"/>
    <w:rsid w:val="00385E28"/>
    <w:rsid w:val="00387ED1"/>
    <w:rsid w:val="00392330"/>
    <w:rsid w:val="003A0CB6"/>
    <w:rsid w:val="003A12D2"/>
    <w:rsid w:val="003D0D6B"/>
    <w:rsid w:val="003D79FB"/>
    <w:rsid w:val="004006FA"/>
    <w:rsid w:val="004135A6"/>
    <w:rsid w:val="00426CD9"/>
    <w:rsid w:val="00433967"/>
    <w:rsid w:val="00443285"/>
    <w:rsid w:val="00446FCB"/>
    <w:rsid w:val="00455DEB"/>
    <w:rsid w:val="00461CDA"/>
    <w:rsid w:val="00474534"/>
    <w:rsid w:val="004C0922"/>
    <w:rsid w:val="004C45B0"/>
    <w:rsid w:val="004C79EC"/>
    <w:rsid w:val="004F21A8"/>
    <w:rsid w:val="004F6253"/>
    <w:rsid w:val="00523678"/>
    <w:rsid w:val="00531CA2"/>
    <w:rsid w:val="00564743"/>
    <w:rsid w:val="005A2B94"/>
    <w:rsid w:val="005B7C53"/>
    <w:rsid w:val="005C3750"/>
    <w:rsid w:val="005C596D"/>
    <w:rsid w:val="005D27F0"/>
    <w:rsid w:val="005D567B"/>
    <w:rsid w:val="005D7134"/>
    <w:rsid w:val="00610797"/>
    <w:rsid w:val="00632367"/>
    <w:rsid w:val="00657075"/>
    <w:rsid w:val="00684186"/>
    <w:rsid w:val="00684E5C"/>
    <w:rsid w:val="00695374"/>
    <w:rsid w:val="006A459A"/>
    <w:rsid w:val="006B41EE"/>
    <w:rsid w:val="00711E09"/>
    <w:rsid w:val="0071539B"/>
    <w:rsid w:val="00715650"/>
    <w:rsid w:val="00734BD5"/>
    <w:rsid w:val="007371AE"/>
    <w:rsid w:val="00756828"/>
    <w:rsid w:val="007603BD"/>
    <w:rsid w:val="007756D6"/>
    <w:rsid w:val="00781838"/>
    <w:rsid w:val="007820A4"/>
    <w:rsid w:val="0078296F"/>
    <w:rsid w:val="00791A32"/>
    <w:rsid w:val="007A1404"/>
    <w:rsid w:val="007A4639"/>
    <w:rsid w:val="007A718A"/>
    <w:rsid w:val="007B27D1"/>
    <w:rsid w:val="007C3E97"/>
    <w:rsid w:val="007D3FF8"/>
    <w:rsid w:val="007E7989"/>
    <w:rsid w:val="007F3194"/>
    <w:rsid w:val="00801593"/>
    <w:rsid w:val="008033D0"/>
    <w:rsid w:val="008422DF"/>
    <w:rsid w:val="008515CC"/>
    <w:rsid w:val="00857908"/>
    <w:rsid w:val="00860C9E"/>
    <w:rsid w:val="00866395"/>
    <w:rsid w:val="00872CFD"/>
    <w:rsid w:val="00874D04"/>
    <w:rsid w:val="00876AFC"/>
    <w:rsid w:val="00881B82"/>
    <w:rsid w:val="0088360F"/>
    <w:rsid w:val="0088530F"/>
    <w:rsid w:val="008873B3"/>
    <w:rsid w:val="00891D6F"/>
    <w:rsid w:val="00895648"/>
    <w:rsid w:val="008A71F2"/>
    <w:rsid w:val="008F02DE"/>
    <w:rsid w:val="008F0B39"/>
    <w:rsid w:val="00903723"/>
    <w:rsid w:val="009176ED"/>
    <w:rsid w:val="00917E71"/>
    <w:rsid w:val="009200BE"/>
    <w:rsid w:val="00937CE5"/>
    <w:rsid w:val="0094211E"/>
    <w:rsid w:val="00970993"/>
    <w:rsid w:val="00983DF8"/>
    <w:rsid w:val="0099451D"/>
    <w:rsid w:val="009D5997"/>
    <w:rsid w:val="009E3ECE"/>
    <w:rsid w:val="00A12E15"/>
    <w:rsid w:val="00A170C6"/>
    <w:rsid w:val="00A52486"/>
    <w:rsid w:val="00A53DD5"/>
    <w:rsid w:val="00A62232"/>
    <w:rsid w:val="00A63A3B"/>
    <w:rsid w:val="00A66576"/>
    <w:rsid w:val="00A70FC1"/>
    <w:rsid w:val="00A7333E"/>
    <w:rsid w:val="00A836C8"/>
    <w:rsid w:val="00A839BB"/>
    <w:rsid w:val="00AA3D24"/>
    <w:rsid w:val="00AC3D28"/>
    <w:rsid w:val="00AD3EEA"/>
    <w:rsid w:val="00AE74DA"/>
    <w:rsid w:val="00AE7884"/>
    <w:rsid w:val="00AF0782"/>
    <w:rsid w:val="00B04407"/>
    <w:rsid w:val="00B143C3"/>
    <w:rsid w:val="00B2023A"/>
    <w:rsid w:val="00B250BB"/>
    <w:rsid w:val="00B43F82"/>
    <w:rsid w:val="00B45828"/>
    <w:rsid w:val="00B53AA9"/>
    <w:rsid w:val="00B55212"/>
    <w:rsid w:val="00B65AD7"/>
    <w:rsid w:val="00B66297"/>
    <w:rsid w:val="00B70DA1"/>
    <w:rsid w:val="00BD60A7"/>
    <w:rsid w:val="00BD77DD"/>
    <w:rsid w:val="00BE2A74"/>
    <w:rsid w:val="00BF196D"/>
    <w:rsid w:val="00BF68A4"/>
    <w:rsid w:val="00BF708E"/>
    <w:rsid w:val="00C36116"/>
    <w:rsid w:val="00C449EC"/>
    <w:rsid w:val="00C469C4"/>
    <w:rsid w:val="00C50EAB"/>
    <w:rsid w:val="00C551A4"/>
    <w:rsid w:val="00C67F3C"/>
    <w:rsid w:val="00C77AEA"/>
    <w:rsid w:val="00CA1226"/>
    <w:rsid w:val="00CB0B4A"/>
    <w:rsid w:val="00CB6178"/>
    <w:rsid w:val="00CD57A5"/>
    <w:rsid w:val="00CF3416"/>
    <w:rsid w:val="00CF52FD"/>
    <w:rsid w:val="00CF6176"/>
    <w:rsid w:val="00D0603A"/>
    <w:rsid w:val="00D066F0"/>
    <w:rsid w:val="00D157A8"/>
    <w:rsid w:val="00D20BE3"/>
    <w:rsid w:val="00D2419B"/>
    <w:rsid w:val="00D312AF"/>
    <w:rsid w:val="00D404A2"/>
    <w:rsid w:val="00D45AE2"/>
    <w:rsid w:val="00D50014"/>
    <w:rsid w:val="00D67882"/>
    <w:rsid w:val="00D842C7"/>
    <w:rsid w:val="00DA0C0B"/>
    <w:rsid w:val="00DB3137"/>
    <w:rsid w:val="00DB6459"/>
    <w:rsid w:val="00DC2ABC"/>
    <w:rsid w:val="00DE0E73"/>
    <w:rsid w:val="00DF17EB"/>
    <w:rsid w:val="00E0221D"/>
    <w:rsid w:val="00E060F0"/>
    <w:rsid w:val="00E07127"/>
    <w:rsid w:val="00E20D52"/>
    <w:rsid w:val="00E30451"/>
    <w:rsid w:val="00E37AD0"/>
    <w:rsid w:val="00E43845"/>
    <w:rsid w:val="00E47391"/>
    <w:rsid w:val="00E521F8"/>
    <w:rsid w:val="00E66E35"/>
    <w:rsid w:val="00E72FFF"/>
    <w:rsid w:val="00E77EA6"/>
    <w:rsid w:val="00E8688C"/>
    <w:rsid w:val="00E90998"/>
    <w:rsid w:val="00E95308"/>
    <w:rsid w:val="00EA0AB0"/>
    <w:rsid w:val="00EA0B4B"/>
    <w:rsid w:val="00EB6D79"/>
    <w:rsid w:val="00EC619E"/>
    <w:rsid w:val="00ED0A0A"/>
    <w:rsid w:val="00ED1D75"/>
    <w:rsid w:val="00EE7EFC"/>
    <w:rsid w:val="00EF2761"/>
    <w:rsid w:val="00F2213E"/>
    <w:rsid w:val="00F2744B"/>
    <w:rsid w:val="00F3736A"/>
    <w:rsid w:val="00F47B1E"/>
    <w:rsid w:val="00F57BB8"/>
    <w:rsid w:val="00F675F6"/>
    <w:rsid w:val="00F73202"/>
    <w:rsid w:val="00F75F94"/>
    <w:rsid w:val="00FD6623"/>
    <w:rsid w:val="00FD6D00"/>
    <w:rsid w:val="00FD776C"/>
    <w:rsid w:val="00FF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A0E5"/>
  <w15:chartTrackingRefBased/>
  <w15:docId w15:val="{49BF16D5-74EE-4D05-8BA1-CC5DC676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1EE"/>
    <w:rPr>
      <w:color w:val="0563C1" w:themeColor="hyperlink"/>
      <w:u w:val="single"/>
    </w:rPr>
  </w:style>
  <w:style w:type="character" w:styleId="UnresolvedMention">
    <w:name w:val="Unresolved Mention"/>
    <w:basedOn w:val="DefaultParagraphFont"/>
    <w:uiPriority w:val="99"/>
    <w:semiHidden/>
    <w:unhideWhenUsed/>
    <w:rsid w:val="006B41EE"/>
    <w:rPr>
      <w:color w:val="605E5C"/>
      <w:shd w:val="clear" w:color="auto" w:fill="E1DFDD"/>
    </w:rPr>
  </w:style>
  <w:style w:type="character" w:styleId="FollowedHyperlink">
    <w:name w:val="FollowedHyperlink"/>
    <w:basedOn w:val="DefaultParagraphFont"/>
    <w:uiPriority w:val="99"/>
    <w:semiHidden/>
    <w:unhideWhenUsed/>
    <w:rsid w:val="00EC6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4350">
      <w:bodyDiv w:val="1"/>
      <w:marLeft w:val="0"/>
      <w:marRight w:val="0"/>
      <w:marTop w:val="0"/>
      <w:marBottom w:val="0"/>
      <w:divBdr>
        <w:top w:val="none" w:sz="0" w:space="0" w:color="auto"/>
        <w:left w:val="none" w:sz="0" w:space="0" w:color="auto"/>
        <w:bottom w:val="none" w:sz="0" w:space="0" w:color="auto"/>
        <w:right w:val="none" w:sz="0" w:space="0" w:color="auto"/>
      </w:divBdr>
    </w:div>
    <w:div w:id="548497633">
      <w:bodyDiv w:val="1"/>
      <w:marLeft w:val="0"/>
      <w:marRight w:val="0"/>
      <w:marTop w:val="0"/>
      <w:marBottom w:val="0"/>
      <w:divBdr>
        <w:top w:val="none" w:sz="0" w:space="0" w:color="auto"/>
        <w:left w:val="none" w:sz="0" w:space="0" w:color="auto"/>
        <w:bottom w:val="none" w:sz="0" w:space="0" w:color="auto"/>
        <w:right w:val="none" w:sz="0" w:space="0" w:color="auto"/>
      </w:divBdr>
    </w:div>
    <w:div w:id="953055342">
      <w:bodyDiv w:val="1"/>
      <w:marLeft w:val="0"/>
      <w:marRight w:val="0"/>
      <w:marTop w:val="0"/>
      <w:marBottom w:val="0"/>
      <w:divBdr>
        <w:top w:val="none" w:sz="0" w:space="0" w:color="auto"/>
        <w:left w:val="none" w:sz="0" w:space="0" w:color="auto"/>
        <w:bottom w:val="none" w:sz="0" w:space="0" w:color="auto"/>
        <w:right w:val="none" w:sz="0" w:space="0" w:color="auto"/>
      </w:divBdr>
      <w:divsChild>
        <w:div w:id="1820877535">
          <w:marLeft w:val="0"/>
          <w:marRight w:val="0"/>
          <w:marTop w:val="0"/>
          <w:marBottom w:val="0"/>
          <w:divBdr>
            <w:top w:val="none" w:sz="0" w:space="0" w:color="auto"/>
            <w:left w:val="none" w:sz="0" w:space="0" w:color="auto"/>
            <w:bottom w:val="none" w:sz="0" w:space="0" w:color="auto"/>
            <w:right w:val="none" w:sz="0" w:space="0" w:color="auto"/>
          </w:divBdr>
          <w:divsChild>
            <w:div w:id="958990262">
              <w:marLeft w:val="0"/>
              <w:marRight w:val="0"/>
              <w:marTop w:val="0"/>
              <w:marBottom w:val="0"/>
              <w:divBdr>
                <w:top w:val="none" w:sz="0" w:space="0" w:color="auto"/>
                <w:left w:val="none" w:sz="0" w:space="0" w:color="auto"/>
                <w:bottom w:val="none" w:sz="0" w:space="0" w:color="auto"/>
                <w:right w:val="none" w:sz="0" w:space="0" w:color="auto"/>
              </w:divBdr>
            </w:div>
            <w:div w:id="1764300660">
              <w:marLeft w:val="0"/>
              <w:marRight w:val="0"/>
              <w:marTop w:val="0"/>
              <w:marBottom w:val="0"/>
              <w:divBdr>
                <w:top w:val="none" w:sz="0" w:space="0" w:color="auto"/>
                <w:left w:val="none" w:sz="0" w:space="0" w:color="auto"/>
                <w:bottom w:val="none" w:sz="0" w:space="0" w:color="auto"/>
                <w:right w:val="none" w:sz="0" w:space="0" w:color="auto"/>
              </w:divBdr>
            </w:div>
            <w:div w:id="985279498">
              <w:marLeft w:val="0"/>
              <w:marRight w:val="0"/>
              <w:marTop w:val="0"/>
              <w:marBottom w:val="0"/>
              <w:divBdr>
                <w:top w:val="none" w:sz="0" w:space="0" w:color="auto"/>
                <w:left w:val="none" w:sz="0" w:space="0" w:color="auto"/>
                <w:bottom w:val="none" w:sz="0" w:space="0" w:color="auto"/>
                <w:right w:val="none" w:sz="0" w:space="0" w:color="auto"/>
              </w:divBdr>
            </w:div>
            <w:div w:id="385036347">
              <w:marLeft w:val="0"/>
              <w:marRight w:val="0"/>
              <w:marTop w:val="0"/>
              <w:marBottom w:val="0"/>
              <w:divBdr>
                <w:top w:val="none" w:sz="0" w:space="0" w:color="auto"/>
                <w:left w:val="none" w:sz="0" w:space="0" w:color="auto"/>
                <w:bottom w:val="none" w:sz="0" w:space="0" w:color="auto"/>
                <w:right w:val="none" w:sz="0" w:space="0" w:color="auto"/>
              </w:divBdr>
            </w:div>
            <w:div w:id="1394817488">
              <w:marLeft w:val="0"/>
              <w:marRight w:val="0"/>
              <w:marTop w:val="0"/>
              <w:marBottom w:val="0"/>
              <w:divBdr>
                <w:top w:val="none" w:sz="0" w:space="0" w:color="auto"/>
                <w:left w:val="none" w:sz="0" w:space="0" w:color="auto"/>
                <w:bottom w:val="none" w:sz="0" w:space="0" w:color="auto"/>
                <w:right w:val="none" w:sz="0" w:space="0" w:color="auto"/>
              </w:divBdr>
            </w:div>
          </w:divsChild>
        </w:div>
        <w:div w:id="160393713">
          <w:marLeft w:val="0"/>
          <w:marRight w:val="0"/>
          <w:marTop w:val="0"/>
          <w:marBottom w:val="0"/>
          <w:divBdr>
            <w:top w:val="none" w:sz="0" w:space="0" w:color="auto"/>
            <w:left w:val="none" w:sz="0" w:space="0" w:color="auto"/>
            <w:bottom w:val="none" w:sz="0" w:space="0" w:color="auto"/>
            <w:right w:val="none" w:sz="0" w:space="0" w:color="auto"/>
          </w:divBdr>
          <w:divsChild>
            <w:div w:id="1021198921">
              <w:marLeft w:val="0"/>
              <w:marRight w:val="0"/>
              <w:marTop w:val="0"/>
              <w:marBottom w:val="0"/>
              <w:divBdr>
                <w:top w:val="none" w:sz="0" w:space="0" w:color="auto"/>
                <w:left w:val="none" w:sz="0" w:space="0" w:color="auto"/>
                <w:bottom w:val="none" w:sz="0" w:space="0" w:color="auto"/>
                <w:right w:val="none" w:sz="0" w:space="0" w:color="auto"/>
              </w:divBdr>
              <w:divsChild>
                <w:div w:id="1763868139">
                  <w:marLeft w:val="0"/>
                  <w:marRight w:val="0"/>
                  <w:marTop w:val="0"/>
                  <w:marBottom w:val="0"/>
                  <w:divBdr>
                    <w:top w:val="none" w:sz="0" w:space="0" w:color="auto"/>
                    <w:left w:val="none" w:sz="0" w:space="0" w:color="auto"/>
                    <w:bottom w:val="none" w:sz="0" w:space="0" w:color="auto"/>
                    <w:right w:val="none" w:sz="0" w:space="0" w:color="auto"/>
                  </w:divBdr>
                  <w:divsChild>
                    <w:div w:id="1701855933">
                      <w:marLeft w:val="0"/>
                      <w:marRight w:val="0"/>
                      <w:marTop w:val="0"/>
                      <w:marBottom w:val="0"/>
                      <w:divBdr>
                        <w:top w:val="none" w:sz="0" w:space="0" w:color="auto"/>
                        <w:left w:val="none" w:sz="0" w:space="0" w:color="auto"/>
                        <w:bottom w:val="none" w:sz="0" w:space="0" w:color="auto"/>
                        <w:right w:val="none" w:sz="0" w:space="0" w:color="auto"/>
                      </w:divBdr>
                      <w:divsChild>
                        <w:div w:id="479466296">
                          <w:marLeft w:val="0"/>
                          <w:marRight w:val="0"/>
                          <w:marTop w:val="0"/>
                          <w:marBottom w:val="0"/>
                          <w:divBdr>
                            <w:top w:val="none" w:sz="0" w:space="0" w:color="auto"/>
                            <w:left w:val="none" w:sz="0" w:space="0" w:color="auto"/>
                            <w:bottom w:val="none" w:sz="0" w:space="0" w:color="auto"/>
                            <w:right w:val="none" w:sz="0" w:space="0" w:color="auto"/>
                          </w:divBdr>
                          <w:divsChild>
                            <w:div w:id="954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45827">
          <w:marLeft w:val="0"/>
          <w:marRight w:val="0"/>
          <w:marTop w:val="0"/>
          <w:marBottom w:val="0"/>
          <w:divBdr>
            <w:top w:val="none" w:sz="0" w:space="0" w:color="auto"/>
            <w:left w:val="none" w:sz="0" w:space="0" w:color="auto"/>
            <w:bottom w:val="none" w:sz="0" w:space="0" w:color="auto"/>
            <w:right w:val="none" w:sz="0" w:space="0" w:color="auto"/>
          </w:divBdr>
        </w:div>
      </w:divsChild>
    </w:div>
    <w:div w:id="17369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wildfire-risk-in-california-drives-insurers-to-pull-policies-for-pricey-homes-11642593601" TargetMode="External"/><Relationship Id="rId13" Type="http://schemas.openxmlformats.org/officeDocument/2006/relationships/hyperlink" Target="https://www.insurance.ca.gov/01-consumers/200-wrr/California-FAIR-Plan.cfm" TargetMode="External"/><Relationship Id="rId3" Type="http://schemas.openxmlformats.org/officeDocument/2006/relationships/webSettings" Target="webSettings.xml"/><Relationship Id="rId7" Type="http://schemas.openxmlformats.org/officeDocument/2006/relationships/hyperlink" Target="https://theconversation.com/why-insurance-companies-are-pulling-out-of-california-and-florida-and-how-to-fix-some-of-the-underlying-problems-207172" TargetMode="External"/><Relationship Id="rId12" Type="http://schemas.openxmlformats.org/officeDocument/2006/relationships/hyperlink" Target="https://www.investopedia.com/terms/r/reinsurance.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tcIIBuzvHpQ" TargetMode="External"/><Relationship Id="rId11" Type="http://schemas.openxmlformats.org/officeDocument/2006/relationships/hyperlink" Target="https://theconversation.com/atmospheric-rivers-over-californias-wildfire-burn-scars-raise-fears-of-deadly-mudslides-this-is-what-cascading-climate-disasters-look-like-197563" TargetMode="External"/><Relationship Id="rId5" Type="http://schemas.openxmlformats.org/officeDocument/2006/relationships/hyperlink" Target="https://www.washingtonpost.com/business/2023/06/05/climate-crisis-of-course-home-insurers-are-fleeing-california/7146a8da-03c7-11ee-b74a-5bdd335d4fa2_story.html" TargetMode="External"/><Relationship Id="rId15" Type="http://schemas.openxmlformats.org/officeDocument/2006/relationships/theme" Target="theme/theme1.xml"/><Relationship Id="rId10" Type="http://schemas.openxmlformats.org/officeDocument/2006/relationships/hyperlink" Target="https://www.insurance.ca.gov/0250-insurers/0300-insurers/0200-bulletins/bulletin-notices-commiss-opinion/upload/notice-re-coverage-for-mudslide-and-earth-movement.pdf" TargetMode="External"/><Relationship Id="rId4" Type="http://schemas.openxmlformats.org/officeDocument/2006/relationships/hyperlink" Target="https://en.wikipedia.org/wiki/Unintended_consequences" TargetMode="External"/><Relationship Id="rId9" Type="http://schemas.openxmlformats.org/officeDocument/2006/relationships/hyperlink" Target="https://youtu.be/SNTUv2xtmf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143</cp:revision>
  <dcterms:created xsi:type="dcterms:W3CDTF">2023-07-01T10:37:00Z</dcterms:created>
  <dcterms:modified xsi:type="dcterms:W3CDTF">2023-07-02T11:35:00Z</dcterms:modified>
</cp:coreProperties>
</file>