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F1AA" w14:textId="7D105DDD" w:rsidR="006F7A97" w:rsidRDefault="00EC5A14">
      <w:r>
        <w:t xml:space="preserve">While it may or may not be true, as Alfred Lord Tenneson penned in his poem </w:t>
      </w:r>
      <w:hyperlink r:id="rId4" w:history="1">
        <w:r w:rsidRPr="00EC5A14">
          <w:rPr>
            <w:rStyle w:val="Hyperlink"/>
            <w:i/>
            <w:iCs/>
          </w:rPr>
          <w:t>Locksley Hall</w:t>
        </w:r>
      </w:hyperlink>
      <w:r>
        <w:t>, that “</w:t>
      </w:r>
      <w:r>
        <w:t>In the Spring a young man's fancy lightly turns to thoughts of love</w:t>
      </w:r>
      <w:r>
        <w:t xml:space="preserve">” it is definitely true that </w:t>
      </w:r>
      <w:r w:rsidR="001B2E6C">
        <w:t>“</w:t>
      </w:r>
      <w:r w:rsidR="00B03578">
        <w:t xml:space="preserve">In the Summer </w:t>
      </w:r>
      <w:r>
        <w:t xml:space="preserve">a sports fan’s fancy turns </w:t>
      </w:r>
      <w:r w:rsidR="001B2E6C">
        <w:t xml:space="preserve">heavily </w:t>
      </w:r>
      <w:r>
        <w:t xml:space="preserve">to thoughts of </w:t>
      </w:r>
      <w:r w:rsidR="00B03578">
        <w:t>baseball</w:t>
      </w:r>
      <w:r w:rsidR="001B2E6C">
        <w:t>”</w:t>
      </w:r>
      <w:r>
        <w:t xml:space="preserve">.  Long a staple of the </w:t>
      </w:r>
      <w:r w:rsidR="00C969C2">
        <w:t>warmer portion of the year</w:t>
      </w:r>
      <w:r>
        <w:t xml:space="preserve">, </w:t>
      </w:r>
      <w:r w:rsidR="00C969C2">
        <w:t xml:space="preserve">America’s pastime </w:t>
      </w:r>
      <w:r>
        <w:t xml:space="preserve">is as much </w:t>
      </w:r>
      <w:r w:rsidR="008B0FD7">
        <w:t xml:space="preserve">an </w:t>
      </w:r>
      <w:r>
        <w:t>academic pursuit into obscure corners of statistical analysis</w:t>
      </w:r>
      <w:r w:rsidR="001E4753">
        <w:t xml:space="preserve"> as it is </w:t>
      </w:r>
      <w:r w:rsidR="001E4753">
        <w:t>an athletic endeavor</w:t>
      </w:r>
      <w:r>
        <w:t xml:space="preserve">.  </w:t>
      </w:r>
      <w:r w:rsidR="008B0FD7">
        <w:t xml:space="preserve">Each season, thousands </w:t>
      </w:r>
      <w:r w:rsidR="002C34EC">
        <w:t xml:space="preserve">upon thousands </w:t>
      </w:r>
      <w:r w:rsidR="00932F3A">
        <w:t xml:space="preserve">of </w:t>
      </w:r>
      <w:r w:rsidR="008B0FD7">
        <w:t xml:space="preserve">die-hards argue about </w:t>
      </w:r>
      <w:r w:rsidR="002C34EC">
        <w:t xml:space="preserve">thousands upon thousands </w:t>
      </w:r>
      <w:r w:rsidR="00FB029D">
        <w:t>of statistics</w:t>
      </w:r>
      <w:r w:rsidR="002C34EC">
        <w:t xml:space="preserve"> using b</w:t>
      </w:r>
      <w:r w:rsidR="00932F3A">
        <w:t>atting averages, on base per</w:t>
      </w:r>
      <w:r w:rsidR="00FB029D">
        <w:t>centage, earned run average</w:t>
      </w:r>
      <w:r w:rsidR="00932F3A">
        <w:t>s</w:t>
      </w:r>
      <w:r w:rsidR="00FB029D">
        <w:t>, slugging percentage</w:t>
      </w:r>
      <w:r w:rsidR="00932F3A">
        <w:t>s</w:t>
      </w:r>
      <w:r w:rsidR="00FB029D">
        <w:t xml:space="preserve"> and so on</w:t>
      </w:r>
      <w:r w:rsidR="002C34EC">
        <w:t xml:space="preserve"> to defend their favorite players or to attack someone else’s </w:t>
      </w:r>
      <w:r w:rsidR="00E4732F">
        <w:t>favorites</w:t>
      </w:r>
      <w:r w:rsidR="00FB029D">
        <w:t xml:space="preserve">.  </w:t>
      </w:r>
      <w:r w:rsidR="00205C84">
        <w:t xml:space="preserve">And no testament could stand more clearly for the baseball enthusiasts love of the </w:t>
      </w:r>
      <w:r w:rsidR="007017E4">
        <w:t xml:space="preserve">controversy stirred up by </w:t>
      </w:r>
      <w:r w:rsidR="00F4032E">
        <w:t>stat</w:t>
      </w:r>
      <w:r w:rsidR="00932F3A">
        <w:t xml:space="preserve">istics </w:t>
      </w:r>
      <w:r w:rsidR="00F4032E">
        <w:t>than the movie</w:t>
      </w:r>
      <w:r w:rsidR="00F17279">
        <w:t xml:space="preserve"> </w:t>
      </w:r>
      <w:hyperlink r:id="rId5" w:history="1">
        <w:r w:rsidR="00F17279" w:rsidRPr="00F17279">
          <w:rPr>
            <w:rStyle w:val="Hyperlink"/>
          </w:rPr>
          <w:t>61</w:t>
        </w:r>
        <w:r w:rsidR="00F17279" w:rsidRPr="00F17279">
          <w:rPr>
            <w:rStyle w:val="Hyperlink"/>
          </w:rPr>
          <w:t>*</w:t>
        </w:r>
      </w:hyperlink>
      <w:r w:rsidR="0054453C">
        <w:t>.</w:t>
      </w:r>
    </w:p>
    <w:p w14:paraId="01278F41" w14:textId="20AB6FF7" w:rsidR="00C2632D" w:rsidRDefault="0054453C">
      <w:r>
        <w:t xml:space="preserve">For those who aren’t used to seeing ‘special characters’ in their movie titles and </w:t>
      </w:r>
      <w:r w:rsidR="00E450E3">
        <w:t>who don’t know what significance the asterisk holds a brief explanation is in order.  Babe Ruth</w:t>
      </w:r>
      <w:r w:rsidR="00320A01">
        <w:t xml:space="preserve">, </w:t>
      </w:r>
      <w:r w:rsidR="00E450E3">
        <w:t xml:space="preserve">one of the best and most beloved </w:t>
      </w:r>
      <w:r w:rsidR="005035E4">
        <w:t xml:space="preserve">baseball players, set many of baseball's records including a single season </w:t>
      </w:r>
      <w:r w:rsidR="00562BB1">
        <w:t xml:space="preserve">record of </w:t>
      </w:r>
      <w:r w:rsidR="009A12EB">
        <w:t xml:space="preserve">60 home runs in 1927.  </w:t>
      </w:r>
      <w:r w:rsidR="00320A01">
        <w:t xml:space="preserve">As the Babe’s legend grew </w:t>
      </w:r>
      <w:r w:rsidR="00254D63">
        <w:t xml:space="preserve">and the years from 1927 faded into memory without anyone mounting much of a challenge </w:t>
      </w:r>
      <w:r w:rsidR="00320A01">
        <w:t xml:space="preserve">so did the belief </w:t>
      </w:r>
      <w:r w:rsidR="00C2632D">
        <w:t>that no one could ever break his record</w:t>
      </w:r>
      <w:r w:rsidR="006B22A8">
        <w:t xml:space="preserve">.  In 1961, </w:t>
      </w:r>
      <w:r w:rsidR="00DB6EA7">
        <w:t>two players from the New York Yankees</w:t>
      </w:r>
      <w:r w:rsidR="0060031C">
        <w:t xml:space="preserve">, Mickey Mantle and Roger Maris, hit home runs at a pace (yet another baseball statistic) to </w:t>
      </w:r>
      <w:r w:rsidR="002855E2">
        <w:t xml:space="preserve">make onlookers believe that either of them might break </w:t>
      </w:r>
      <w:r w:rsidR="00B475D1">
        <w:t>a record dating back to before World War II and the Great Depression.</w:t>
      </w:r>
      <w:r w:rsidR="00975072">
        <w:t xml:space="preserve">  Eventually, Roger Maris broke the record in the 162</w:t>
      </w:r>
      <w:r w:rsidR="00975072" w:rsidRPr="00975072">
        <w:rPr>
          <w:vertAlign w:val="superscript"/>
        </w:rPr>
        <w:t>nd</w:t>
      </w:r>
      <w:r w:rsidR="00975072">
        <w:t xml:space="preserve"> game of the season, but since </w:t>
      </w:r>
      <w:r w:rsidR="00F82444">
        <w:t xml:space="preserve">Ruth reached his mark of 60 home runs when baseball only played 154 games, </w:t>
      </w:r>
      <w:r w:rsidR="00611C0A">
        <w:t xml:space="preserve">the Commissioner </w:t>
      </w:r>
      <w:r w:rsidR="004D7811">
        <w:t xml:space="preserve">qualified </w:t>
      </w:r>
      <w:r w:rsidR="00611C0A">
        <w:t xml:space="preserve">the </w:t>
      </w:r>
      <w:r w:rsidR="00CA4580">
        <w:t xml:space="preserve">Maris </w:t>
      </w:r>
      <w:r w:rsidR="00611C0A">
        <w:t>record with an ‘*’</w:t>
      </w:r>
      <w:r w:rsidR="00637ADE">
        <w:t xml:space="preserve"> as a means of </w:t>
      </w:r>
      <w:r w:rsidR="008256D3">
        <w:t>protect</w:t>
      </w:r>
      <w:r w:rsidR="00637ADE">
        <w:t>ing</w:t>
      </w:r>
      <w:r w:rsidR="008256D3">
        <w:t xml:space="preserve"> the mystique </w:t>
      </w:r>
      <w:r w:rsidR="00637ADE">
        <w:t>of Babe Ruth.</w:t>
      </w:r>
    </w:p>
    <w:p w14:paraId="6CA5C4B3" w14:textId="4629DB63" w:rsidR="00B61751" w:rsidRDefault="00611C0A">
      <w:r>
        <w:t xml:space="preserve">And for years afterwards, fans argued whether Maris really did break the record or not.  Eventually, Maris’s record </w:t>
      </w:r>
      <w:r w:rsidR="00EB4929">
        <w:t>wou</w:t>
      </w:r>
      <w:r>
        <w:t xml:space="preserve">ld also </w:t>
      </w:r>
      <w:r w:rsidR="004D7811">
        <w:t>fall, first to Mark Mc</w:t>
      </w:r>
      <w:r w:rsidR="00CB1B91">
        <w:t xml:space="preserve">Gwire, who hit 70 ‘dingers’ (baseball lingo for home runs) in 1998 and then Barry Bonds, </w:t>
      </w:r>
      <w:r w:rsidR="0055532C">
        <w:t xml:space="preserve">who hit 73 in 2001.  </w:t>
      </w:r>
      <w:r w:rsidR="00B61751">
        <w:t>What’s a baseball fan to do?</w:t>
      </w:r>
      <w:r w:rsidR="00D63DA2">
        <w:t xml:space="preserve">  Should McGwire’s and Bonds receive an ‘*’?  How do we judge</w:t>
      </w:r>
      <w:r w:rsidR="00637ADE">
        <w:t>?</w:t>
      </w:r>
    </w:p>
    <w:p w14:paraId="10FCD7A4" w14:textId="683B26F3" w:rsidR="00D63DA2" w:rsidRDefault="00D63DA2">
      <w:r>
        <w:t xml:space="preserve">At first glance, one might argue that </w:t>
      </w:r>
      <w:r w:rsidR="0089547B">
        <w:t>the best way to do it would be to normalize for the number of games played.  For example,</w:t>
      </w:r>
      <w:r w:rsidR="00B05BE0">
        <w:t xml:space="preserve"> Ruth hit 60 </w:t>
      </w:r>
      <w:r w:rsidR="00436D59">
        <w:t xml:space="preserve">HRs (home runs – an abbreviation that will be used hereafter) in 154 games so his rate was </w:t>
      </w:r>
      <w:r w:rsidR="00263A7A">
        <w:t xml:space="preserve">0.3896.  Likewise, </w:t>
      </w:r>
      <w:proofErr w:type="spellStart"/>
      <w:r w:rsidR="00263A7A">
        <w:t>Bonds’s</w:t>
      </w:r>
      <w:proofErr w:type="spellEnd"/>
      <w:r w:rsidR="00263A7A">
        <w:t xml:space="preserve"> rate is </w:t>
      </w:r>
      <w:r w:rsidR="00CF53EF">
        <w:t xml:space="preserve">0.4506.  And </w:t>
      </w:r>
      <w:r w:rsidR="00E01157">
        <w:t>so,</w:t>
      </w:r>
      <w:r w:rsidR="00CF53EF">
        <w:t xml:space="preserve"> </w:t>
      </w:r>
      <w:r w:rsidR="00E01157">
        <w:t xml:space="preserve">can we conclude that </w:t>
      </w:r>
      <w:r w:rsidR="00CF53EF">
        <w:t>Bonds is clearly the better home run hitter.  But not so fast</w:t>
      </w:r>
      <w:r w:rsidR="00212733">
        <w:t xml:space="preserve"> the purist will say, Bond’s and McGwire hit during the </w:t>
      </w:r>
      <w:hyperlink r:id="rId6" w:history="1">
        <w:r w:rsidR="00212733" w:rsidRPr="00E01157">
          <w:rPr>
            <w:rStyle w:val="Hyperlink"/>
          </w:rPr>
          <w:t>steroids era in baseball</w:t>
        </w:r>
      </w:hyperlink>
      <w:r w:rsidR="00212733">
        <w:t xml:space="preserve">, when </w:t>
      </w:r>
      <w:r w:rsidR="00E01157">
        <w:t>everyone, from the players on the field to the guy who shouts ‘Beer Here!’ in the stands</w:t>
      </w:r>
      <w:r w:rsidR="00B34ABD">
        <w:t>,</w:t>
      </w:r>
      <w:r w:rsidR="00E01157">
        <w:t xml:space="preserve"> was juicing (okay… so maybe not everyone).</w:t>
      </w:r>
      <w:r w:rsidR="00B34ABD">
        <w:t xml:space="preserve">  </w:t>
      </w:r>
      <w:r w:rsidR="00457E52">
        <w:t xml:space="preserve">Should we put stock in the purists argument or has Bonds really </w:t>
      </w:r>
      <w:r w:rsidR="00D34B34">
        <w:t>done something remarkable?</w:t>
      </w:r>
    </w:p>
    <w:p w14:paraId="23EC6AF5" w14:textId="783A83E3" w:rsidR="00A05E3E" w:rsidRDefault="00B34ABD">
      <w:r>
        <w:t xml:space="preserve">This is a standard problem in statistics </w:t>
      </w:r>
      <w:r w:rsidR="00106B20">
        <w:t xml:space="preserve">when we try to compare two distinct populations be they be separated in time (1920s, 1960s, 1990s) or geographically (school children in the US v. </w:t>
      </w:r>
      <w:r w:rsidR="00A05E3E">
        <w:t>those in Japan) or even more remotely separated</w:t>
      </w:r>
      <w:r w:rsidR="009321FC">
        <w:t>, for example by biology</w:t>
      </w:r>
      <w:r w:rsidR="00A05E3E">
        <w:t>.  The standard solution is to use a Z-score</w:t>
      </w:r>
      <w:r w:rsidR="000F3556">
        <w:t xml:space="preserve">, which normalizes the attributes of a member of a population to its population as whole.  Once the normalization is done, we can then </w:t>
      </w:r>
      <w:r w:rsidR="00694B18">
        <w:t>compare individuals in these different populations to each other.</w:t>
      </w:r>
    </w:p>
    <w:p w14:paraId="4A1910CC" w14:textId="140308CC" w:rsidR="00694B18" w:rsidRDefault="00694B18">
      <w:r>
        <w:t xml:space="preserve">As a concrete example, let’s compare </w:t>
      </w:r>
      <w:hyperlink r:id="rId7" w:history="1">
        <w:r w:rsidRPr="001E4602">
          <w:rPr>
            <w:rStyle w:val="Hyperlink"/>
          </w:rPr>
          <w:t>Kevin Hart</w:t>
        </w:r>
      </w:hyperlink>
      <w:r w:rsidR="00B96B9D">
        <w:t xml:space="preserve">’s height to that of Hiawatha the Giraffe.  </w:t>
      </w:r>
      <w:r w:rsidR="006F7B25">
        <w:t xml:space="preserve">The internet lists </w:t>
      </w:r>
      <w:r w:rsidR="00B96B9D">
        <w:t>Kevin Hart</w:t>
      </w:r>
      <w:r w:rsidR="006F7B25">
        <w:t xml:space="preserve"> as being 5 feet, 2 inches tall and let us suppose that Hiawatha is </w:t>
      </w:r>
      <w:r w:rsidR="00CE07F7">
        <w:t>1</w:t>
      </w:r>
      <w:r w:rsidR="004B3ED0">
        <w:t>2</w:t>
      </w:r>
      <w:r w:rsidR="001E4602">
        <w:t xml:space="preserve"> feet, </w:t>
      </w:r>
      <w:r w:rsidR="004B3ED0">
        <w:t>7</w:t>
      </w:r>
      <w:r w:rsidR="001E4602">
        <w:t xml:space="preserve"> inches tall.  If</w:t>
      </w:r>
      <w:r w:rsidR="00F944CC">
        <w:t xml:space="preserve"> we are curious which of them </w:t>
      </w:r>
      <w:r w:rsidR="00DC5DBC">
        <w:t xml:space="preserve">would be able to fit through a door with a </w:t>
      </w:r>
      <w:r w:rsidR="00770EEE">
        <w:t xml:space="preserve">standard US </w:t>
      </w:r>
      <w:r w:rsidR="00DC5DBC">
        <w:t xml:space="preserve">height of </w:t>
      </w:r>
      <w:r w:rsidR="00770EEE">
        <w:t>6</w:t>
      </w:r>
      <w:r w:rsidR="00DC5DBC">
        <w:t xml:space="preserve"> feet, </w:t>
      </w:r>
      <w:r w:rsidR="00770EEE">
        <w:t>8</w:t>
      </w:r>
      <w:r w:rsidR="00DC5DBC">
        <w:t xml:space="preserve"> inches</w:t>
      </w:r>
      <w:r w:rsidR="001E4602">
        <w:t xml:space="preserve"> </w:t>
      </w:r>
      <w:r w:rsidR="00172883">
        <w:t xml:space="preserve">then a simple numerical comparison shows us that </w:t>
      </w:r>
      <w:r w:rsidR="00770EEE">
        <w:t xml:space="preserve">Hart will while </w:t>
      </w:r>
      <w:r w:rsidR="00172883">
        <w:t xml:space="preserve">Hiawatha </w:t>
      </w:r>
      <w:r w:rsidR="00770EEE">
        <w:t>won’t</w:t>
      </w:r>
      <w:r w:rsidR="00172883">
        <w:t xml:space="preserve">.  </w:t>
      </w:r>
      <w:r w:rsidR="003A4377">
        <w:t>However, t</w:t>
      </w:r>
      <w:r w:rsidR="00770EEE">
        <w:t xml:space="preserve">his is rarely what we want.  When we ask which is shorter or taller, it is often the case where we want to </w:t>
      </w:r>
      <w:r w:rsidR="00770EEE">
        <w:lastRenderedPageBreak/>
        <w:t>know if Hart is short as a man (he is) and if Hiawatha is short as a giraffe (she is as well).</w:t>
      </w:r>
      <w:r w:rsidR="00FA4568">
        <w:t xml:space="preserve">  So, how do we compare</w:t>
      </w:r>
      <w:r w:rsidR="00EC393C">
        <w:t>?</w:t>
      </w:r>
    </w:p>
    <w:p w14:paraId="681A2A57" w14:textId="6A6285CF" w:rsidR="00FA4568" w:rsidRDefault="00FA4568">
      <w:r>
        <w:t>Using the Z-score</w:t>
      </w:r>
      <w:r w:rsidR="006F7A97">
        <w:t xml:space="preserve"> (see also the post </w:t>
      </w:r>
      <w:hyperlink r:id="rId8" w:history="1">
        <w:r w:rsidR="006F7A97" w:rsidRPr="006F7A97">
          <w:rPr>
            <w:rStyle w:val="Hyperlink"/>
          </w:rPr>
          <w:t>K-Means Data Clustering</w:t>
        </w:r>
      </w:hyperlink>
      <w:r w:rsidR="006F7A97">
        <w:t>)</w:t>
      </w:r>
      <w:r>
        <w:t>, we convert the individual</w:t>
      </w:r>
      <w:r w:rsidR="00EC393C">
        <w:t>’</w:t>
      </w:r>
      <w:r>
        <w:t>s absolute height to a population-normalized height by the formula</w:t>
      </w:r>
    </w:p>
    <w:p w14:paraId="353846EF" w14:textId="430BB871" w:rsidR="00FA4568" w:rsidRDefault="00FA4568">
      <w:r>
        <w:t xml:space="preserve">\[ Z_{height} = \frac{height - </w:t>
      </w:r>
      <w:r w:rsidR="00064544">
        <w:t xml:space="preserve">\mu_{height}}{\sigma_{height}} \; , \] </w:t>
      </w:r>
    </w:p>
    <w:p w14:paraId="7434D711" w14:textId="0BFE2556" w:rsidR="00064544" w:rsidRDefault="00064544">
      <w:r>
        <w:t xml:space="preserve">where $\mu_{height}$ is the mean height for a member of the population and $\sigma_{height}$ is the corresponding standard deviation about that mean. </w:t>
      </w:r>
    </w:p>
    <w:p w14:paraId="66ED0B81" w14:textId="31C93800" w:rsidR="00064544" w:rsidRDefault="00CA0F0F">
      <w:r>
        <w:t xml:space="preserve">For the US male, the appropriate statistics are </w:t>
      </w:r>
      <w:r w:rsidR="00154C44">
        <w:t xml:space="preserve">a </w:t>
      </w:r>
      <w:r w:rsidR="00D96B63">
        <w:t xml:space="preserve">$\mu_{height}$ </w:t>
      </w:r>
      <w:r w:rsidR="00154C44">
        <w:t xml:space="preserve">of 5 feet, 9 inches and a $\sigma_{height}$ of </w:t>
      </w:r>
      <w:r w:rsidR="008D37CD">
        <w:t xml:space="preserve">2.5 inches.  </w:t>
      </w:r>
      <w:r w:rsidR="009065D6">
        <w:t>G</w:t>
      </w:r>
      <w:r w:rsidR="008D37CD">
        <w:t>iraffe height statistics are a little hard to come b</w:t>
      </w:r>
      <w:r w:rsidR="009379A1">
        <w:t xml:space="preserve">ut according to the Denver Zoo, </w:t>
      </w:r>
      <w:r w:rsidR="009065D6">
        <w:t xml:space="preserve">females range between 14 and 16 feet.  Assuming this to be a 3-sigma bound, we can reasonably assume a </w:t>
      </w:r>
      <w:r w:rsidR="00564DCE">
        <w:t xml:space="preserve">$\mu_{height}$ of 15 feet with </w:t>
      </w:r>
      <w:r w:rsidR="00F0463C">
        <w:t>a $\sigma_{height}$ of 4 inches.  A simple calculation then yields a $Z_{height}</w:t>
      </w:r>
      <w:r w:rsidR="00882F08">
        <w:t xml:space="preserve"> = -2.8$ for Hart and $Z_{height} = </w:t>
      </w:r>
      <w:r w:rsidR="00AD70EB">
        <w:t>-7.25</w:t>
      </w:r>
      <w:r w:rsidR="00882F08">
        <w:t>$</w:t>
      </w:r>
      <w:r w:rsidR="00AD70EB">
        <w:t xml:space="preserve"> showing clearly that Hiawatha is shorter tha</w:t>
      </w:r>
      <w:r w:rsidR="00BE1B2B">
        <w:t>n</w:t>
      </w:r>
      <w:r w:rsidR="00AD70EB">
        <w:t xml:space="preserve"> Kevin Hart</w:t>
      </w:r>
      <w:r w:rsidR="001C43C5">
        <w:t xml:space="preserve">, substantially shorter. </w:t>
      </w:r>
    </w:p>
    <w:p w14:paraId="401E87EC" w14:textId="4CB7A94A" w:rsidR="001C43C5" w:rsidRDefault="008079B7" w:rsidP="00DD777C">
      <w:r>
        <w:t xml:space="preserve">Now, returning to baseball, we can follow a very interesting and insightful article by </w:t>
      </w:r>
      <w:r w:rsidR="00DD777C">
        <w:t>Randy Taylor</w:t>
      </w:r>
      <w:r w:rsidR="00DD777C">
        <w:t xml:space="preserve"> and </w:t>
      </w:r>
      <w:r w:rsidR="00DD777C">
        <w:t xml:space="preserve">Steve </w:t>
      </w:r>
      <w:proofErr w:type="spellStart"/>
      <w:r w:rsidR="00DD777C">
        <w:t>Krevisky</w:t>
      </w:r>
      <w:proofErr w:type="spellEnd"/>
      <w:r w:rsidR="00DD777C">
        <w:t xml:space="preserve"> entitled </w:t>
      </w:r>
      <w:hyperlink r:id="rId9" w:history="1">
        <w:r w:rsidR="0098680F" w:rsidRPr="00A20FBC">
          <w:rPr>
            <w:rStyle w:val="Hyperlink"/>
            <w:i/>
            <w:iCs/>
          </w:rPr>
          <w:t>Using Mathemati</w:t>
        </w:r>
        <w:r w:rsidR="0098680F" w:rsidRPr="00A20FBC">
          <w:rPr>
            <w:rStyle w:val="Hyperlink"/>
            <w:i/>
            <w:iCs/>
          </w:rPr>
          <w:t>c</w:t>
        </w:r>
        <w:r w:rsidR="0098680F" w:rsidRPr="00A20FBC">
          <w:rPr>
            <w:rStyle w:val="Hyperlink"/>
            <w:i/>
            <w:iCs/>
          </w:rPr>
          <w:t>s And Statistics To Analyze Who Are The Great Sluggers In Baseball</w:t>
        </w:r>
      </w:hyperlink>
      <w:r w:rsidR="0098680F">
        <w:t xml:space="preserve">’.  </w:t>
      </w:r>
      <w:r w:rsidR="0068707A">
        <w:t xml:space="preserve">They </w:t>
      </w:r>
      <w:r w:rsidR="00A20FBC">
        <w:t>looked at mix of hitters from both the American and National leagues of Major League Baseball</w:t>
      </w:r>
      <w:r w:rsidR="005C68CF">
        <w:t xml:space="preserve">, scattered over </w:t>
      </w:r>
      <w:r w:rsidR="001B2384">
        <w:t>the time span from 1920-2002,</w:t>
      </w:r>
      <w:r w:rsidR="00A20FBC">
        <w:t xml:space="preserve"> and record the following statistics (</w:t>
      </w:r>
      <w:r w:rsidR="001B2384">
        <w:t xml:space="preserve">which I’ve </w:t>
      </w:r>
      <w:r w:rsidR="00A20FBC">
        <w:t xml:space="preserve">ordered by </w:t>
      </w:r>
      <w:r w:rsidR="00B31BA4">
        <w:t>date</w:t>
      </w:r>
      <w:r w:rsidR="00A20FBC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896"/>
        <w:gridCol w:w="862"/>
        <w:gridCol w:w="583"/>
        <w:gridCol w:w="1151"/>
        <w:gridCol w:w="1446"/>
        <w:gridCol w:w="1274"/>
      </w:tblGrid>
      <w:tr w:rsidR="00B968DB" w14:paraId="19E5606E" w14:textId="77777777" w:rsidTr="00DC0786">
        <w:tc>
          <w:tcPr>
            <w:tcW w:w="709" w:type="dxa"/>
          </w:tcPr>
          <w:p w14:paraId="50302F34" w14:textId="364CA358" w:rsidR="00B968DB" w:rsidRPr="005C68CF" w:rsidRDefault="00B968DB" w:rsidP="005C68CF">
            <w:pPr>
              <w:jc w:val="center"/>
              <w:rPr>
                <w:b/>
                <w:bCs/>
              </w:rPr>
            </w:pPr>
            <w:r w:rsidRPr="005C68CF">
              <w:rPr>
                <w:b/>
                <w:bCs/>
              </w:rPr>
              <w:t>Year</w:t>
            </w:r>
          </w:p>
        </w:tc>
        <w:tc>
          <w:tcPr>
            <w:tcW w:w="1896" w:type="dxa"/>
          </w:tcPr>
          <w:p w14:paraId="7C39D3D2" w14:textId="57A7C090" w:rsidR="00B968DB" w:rsidRPr="005C68CF" w:rsidRDefault="00B968DB" w:rsidP="005C68CF">
            <w:pPr>
              <w:jc w:val="center"/>
              <w:rPr>
                <w:b/>
                <w:bCs/>
              </w:rPr>
            </w:pPr>
            <w:r w:rsidRPr="005C68CF">
              <w:rPr>
                <w:b/>
                <w:bCs/>
              </w:rPr>
              <w:t>Hitter</w:t>
            </w:r>
          </w:p>
        </w:tc>
        <w:tc>
          <w:tcPr>
            <w:tcW w:w="852" w:type="dxa"/>
          </w:tcPr>
          <w:p w14:paraId="638FCB82" w14:textId="0B26DC35" w:rsidR="00B968DB" w:rsidRPr="005C68CF" w:rsidRDefault="00B968DB" w:rsidP="005C68CF">
            <w:pPr>
              <w:jc w:val="center"/>
              <w:rPr>
                <w:b/>
                <w:bCs/>
              </w:rPr>
            </w:pPr>
            <w:r w:rsidRPr="005C68CF">
              <w:rPr>
                <w:b/>
                <w:bCs/>
              </w:rPr>
              <w:t>League</w:t>
            </w:r>
          </w:p>
        </w:tc>
        <w:tc>
          <w:tcPr>
            <w:tcW w:w="583" w:type="dxa"/>
          </w:tcPr>
          <w:p w14:paraId="1E7F3077" w14:textId="22F0E946" w:rsidR="00B968DB" w:rsidRPr="005C68CF" w:rsidRDefault="00B968DB" w:rsidP="005C68CF">
            <w:pPr>
              <w:jc w:val="center"/>
              <w:rPr>
                <w:b/>
                <w:bCs/>
              </w:rPr>
            </w:pPr>
            <w:r w:rsidRPr="005C68CF">
              <w:rPr>
                <w:b/>
                <w:bCs/>
              </w:rPr>
              <w:t>HR</w:t>
            </w:r>
          </w:p>
        </w:tc>
        <w:tc>
          <w:tcPr>
            <w:tcW w:w="1151" w:type="dxa"/>
          </w:tcPr>
          <w:p w14:paraId="107310D6" w14:textId="3A663A61" w:rsidR="00B968DB" w:rsidRPr="005C68CF" w:rsidRDefault="00B968DB" w:rsidP="005C68CF">
            <w:pPr>
              <w:jc w:val="center"/>
              <w:rPr>
                <w:b/>
                <w:bCs/>
              </w:rPr>
            </w:pPr>
            <w:r w:rsidRPr="005C68CF">
              <w:rPr>
                <w:b/>
                <w:bCs/>
              </w:rPr>
              <w:t>Mean HR</w:t>
            </w:r>
          </w:p>
        </w:tc>
        <w:tc>
          <w:tcPr>
            <w:tcW w:w="1446" w:type="dxa"/>
          </w:tcPr>
          <w:p w14:paraId="29599FC9" w14:textId="428F398F" w:rsidR="00B968DB" w:rsidRPr="005C68CF" w:rsidRDefault="00B968DB" w:rsidP="005C68CF">
            <w:pPr>
              <w:jc w:val="center"/>
              <w:rPr>
                <w:b/>
                <w:bCs/>
              </w:rPr>
            </w:pPr>
            <w:r w:rsidRPr="005C68CF">
              <w:rPr>
                <w:b/>
                <w:bCs/>
              </w:rPr>
              <w:t>HR Standard Deviation</w:t>
            </w:r>
          </w:p>
        </w:tc>
        <w:tc>
          <w:tcPr>
            <w:tcW w:w="1274" w:type="dxa"/>
          </w:tcPr>
          <w:p w14:paraId="6E53A4C7" w14:textId="563142B8" w:rsidR="00B968DB" w:rsidRPr="005C68CF" w:rsidRDefault="00B968DB" w:rsidP="005C68CF">
            <w:pPr>
              <w:jc w:val="center"/>
              <w:rPr>
                <w:b/>
                <w:bCs/>
              </w:rPr>
            </w:pPr>
            <w:r w:rsidRPr="005C68CF">
              <w:rPr>
                <w:b/>
                <w:bCs/>
              </w:rPr>
              <w:t>Z</w:t>
            </w:r>
          </w:p>
        </w:tc>
      </w:tr>
      <w:tr w:rsidR="00002659" w14:paraId="1119703C" w14:textId="77777777" w:rsidTr="00F42117">
        <w:tc>
          <w:tcPr>
            <w:tcW w:w="709" w:type="dxa"/>
            <w:vAlign w:val="bottom"/>
          </w:tcPr>
          <w:p w14:paraId="0FB11270" w14:textId="33973566" w:rsidR="00002659" w:rsidRDefault="00002659" w:rsidP="00002659">
            <w:r>
              <w:rPr>
                <w:rFonts w:ascii="Calibri" w:hAnsi="Calibri" w:cs="Calibri"/>
                <w:color w:val="000000"/>
              </w:rPr>
              <w:t>1920</w:t>
            </w:r>
          </w:p>
        </w:tc>
        <w:tc>
          <w:tcPr>
            <w:tcW w:w="1896" w:type="dxa"/>
            <w:vAlign w:val="bottom"/>
          </w:tcPr>
          <w:p w14:paraId="29D4F085" w14:textId="6D54C130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Babe Ruth      </w:t>
            </w:r>
          </w:p>
        </w:tc>
        <w:tc>
          <w:tcPr>
            <w:tcW w:w="852" w:type="dxa"/>
            <w:vAlign w:val="bottom"/>
          </w:tcPr>
          <w:p w14:paraId="171D0830" w14:textId="1617DC6C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583" w:type="dxa"/>
            <w:vAlign w:val="bottom"/>
          </w:tcPr>
          <w:p w14:paraId="4FCFE770" w14:textId="2C6FC845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51" w:type="dxa"/>
            <w:vAlign w:val="bottom"/>
          </w:tcPr>
          <w:p w14:paraId="75EE90E5" w14:textId="5762B8E9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4.85</w:t>
            </w:r>
          </w:p>
        </w:tc>
        <w:tc>
          <w:tcPr>
            <w:tcW w:w="1446" w:type="dxa"/>
            <w:vAlign w:val="bottom"/>
          </w:tcPr>
          <w:p w14:paraId="5C399FE5" w14:textId="015CA52E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7.27</w:t>
            </w:r>
          </w:p>
        </w:tc>
        <w:tc>
          <w:tcPr>
            <w:tcW w:w="1274" w:type="dxa"/>
            <w:vAlign w:val="bottom"/>
          </w:tcPr>
          <w:p w14:paraId="29B7F407" w14:textId="5A3983B7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6.76</w:t>
            </w:r>
          </w:p>
        </w:tc>
      </w:tr>
      <w:tr w:rsidR="00002659" w14:paraId="34AA62FD" w14:textId="77777777" w:rsidTr="00F42117">
        <w:tc>
          <w:tcPr>
            <w:tcW w:w="709" w:type="dxa"/>
            <w:vAlign w:val="bottom"/>
          </w:tcPr>
          <w:p w14:paraId="17F37069" w14:textId="4AE84C24" w:rsidR="00002659" w:rsidRDefault="00002659" w:rsidP="00002659">
            <w:r>
              <w:rPr>
                <w:rFonts w:ascii="Calibri" w:hAnsi="Calibri" w:cs="Calibri"/>
                <w:color w:val="000000"/>
              </w:rPr>
              <w:t>1921</w:t>
            </w:r>
          </w:p>
        </w:tc>
        <w:tc>
          <w:tcPr>
            <w:tcW w:w="1896" w:type="dxa"/>
            <w:vAlign w:val="bottom"/>
          </w:tcPr>
          <w:p w14:paraId="768349F7" w14:textId="7E7F1BA7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Babe Ruth      </w:t>
            </w:r>
          </w:p>
        </w:tc>
        <w:tc>
          <w:tcPr>
            <w:tcW w:w="852" w:type="dxa"/>
            <w:vAlign w:val="bottom"/>
          </w:tcPr>
          <w:p w14:paraId="712C31FA" w14:textId="00058D03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583" w:type="dxa"/>
            <w:vAlign w:val="bottom"/>
          </w:tcPr>
          <w:p w14:paraId="478628C0" w14:textId="6FFF5705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151" w:type="dxa"/>
            <w:vAlign w:val="bottom"/>
          </w:tcPr>
          <w:p w14:paraId="00D61B01" w14:textId="31BA5E18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6.05</w:t>
            </w:r>
          </w:p>
        </w:tc>
        <w:tc>
          <w:tcPr>
            <w:tcW w:w="1446" w:type="dxa"/>
            <w:vAlign w:val="bottom"/>
          </w:tcPr>
          <w:p w14:paraId="30D6B341" w14:textId="55B8891F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8.87</w:t>
            </w:r>
          </w:p>
        </w:tc>
        <w:tc>
          <w:tcPr>
            <w:tcW w:w="1274" w:type="dxa"/>
            <w:vAlign w:val="bottom"/>
          </w:tcPr>
          <w:p w14:paraId="37A79FCE" w14:textId="23715244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5.97</w:t>
            </w:r>
          </w:p>
        </w:tc>
      </w:tr>
      <w:tr w:rsidR="00002659" w14:paraId="39650319" w14:textId="77777777" w:rsidTr="00F42117">
        <w:tc>
          <w:tcPr>
            <w:tcW w:w="709" w:type="dxa"/>
            <w:vAlign w:val="bottom"/>
          </w:tcPr>
          <w:p w14:paraId="07A44819" w14:textId="4CBDE2DC" w:rsidR="00002659" w:rsidRDefault="00002659" w:rsidP="00002659">
            <w:r>
              <w:rPr>
                <w:rFonts w:ascii="Calibri" w:hAnsi="Calibri" w:cs="Calibri"/>
                <w:color w:val="000000"/>
              </w:rPr>
              <w:t>1922</w:t>
            </w:r>
          </w:p>
        </w:tc>
        <w:tc>
          <w:tcPr>
            <w:tcW w:w="1896" w:type="dxa"/>
            <w:vAlign w:val="bottom"/>
          </w:tcPr>
          <w:p w14:paraId="67C378D2" w14:textId="7A7F3E1F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Rogers Hornsby </w:t>
            </w:r>
          </w:p>
        </w:tc>
        <w:tc>
          <w:tcPr>
            <w:tcW w:w="852" w:type="dxa"/>
            <w:vAlign w:val="bottom"/>
          </w:tcPr>
          <w:p w14:paraId="446EA5CC" w14:textId="046C64A1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583" w:type="dxa"/>
            <w:vAlign w:val="bottom"/>
          </w:tcPr>
          <w:p w14:paraId="63DB5E38" w14:textId="4D5D166E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51" w:type="dxa"/>
            <w:vAlign w:val="bottom"/>
          </w:tcPr>
          <w:p w14:paraId="71BA85BF" w14:textId="07325EAB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6.31</w:t>
            </w:r>
          </w:p>
        </w:tc>
        <w:tc>
          <w:tcPr>
            <w:tcW w:w="1446" w:type="dxa"/>
            <w:vAlign w:val="bottom"/>
          </w:tcPr>
          <w:p w14:paraId="1BA9F6D0" w14:textId="32667E65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7.18</w:t>
            </w:r>
          </w:p>
        </w:tc>
        <w:tc>
          <w:tcPr>
            <w:tcW w:w="1274" w:type="dxa"/>
            <w:vAlign w:val="bottom"/>
          </w:tcPr>
          <w:p w14:paraId="626E37F1" w14:textId="210BABFB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4.97</w:t>
            </w:r>
          </w:p>
        </w:tc>
      </w:tr>
      <w:tr w:rsidR="00002659" w14:paraId="4EAC8D76" w14:textId="77777777" w:rsidTr="00F42117">
        <w:tc>
          <w:tcPr>
            <w:tcW w:w="709" w:type="dxa"/>
            <w:vAlign w:val="bottom"/>
          </w:tcPr>
          <w:p w14:paraId="7334BB28" w14:textId="2BB4ED56" w:rsidR="00002659" w:rsidRDefault="00002659" w:rsidP="00002659">
            <w:r>
              <w:rPr>
                <w:rFonts w:ascii="Calibri" w:hAnsi="Calibri" w:cs="Calibri"/>
                <w:color w:val="000000"/>
              </w:rPr>
              <w:t>1927</w:t>
            </w:r>
          </w:p>
        </w:tc>
        <w:tc>
          <w:tcPr>
            <w:tcW w:w="1896" w:type="dxa"/>
            <w:vAlign w:val="bottom"/>
          </w:tcPr>
          <w:p w14:paraId="408DC7BD" w14:textId="657FFFA5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Babe Ruth      </w:t>
            </w:r>
          </w:p>
        </w:tc>
        <w:tc>
          <w:tcPr>
            <w:tcW w:w="852" w:type="dxa"/>
            <w:vAlign w:val="bottom"/>
          </w:tcPr>
          <w:p w14:paraId="48FCEF02" w14:textId="195C3091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583" w:type="dxa"/>
            <w:vAlign w:val="bottom"/>
          </w:tcPr>
          <w:p w14:paraId="2A69F4C6" w14:textId="00BFFB3A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51" w:type="dxa"/>
            <w:vAlign w:val="bottom"/>
          </w:tcPr>
          <w:p w14:paraId="3DE009A0" w14:textId="60159DA9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5.42</w:t>
            </w:r>
          </w:p>
        </w:tc>
        <w:tc>
          <w:tcPr>
            <w:tcW w:w="1446" w:type="dxa"/>
            <w:vAlign w:val="bottom"/>
          </w:tcPr>
          <w:p w14:paraId="56DE13B8" w14:textId="384E4213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10.05</w:t>
            </w:r>
          </w:p>
        </w:tc>
        <w:tc>
          <w:tcPr>
            <w:tcW w:w="1274" w:type="dxa"/>
            <w:vAlign w:val="bottom"/>
          </w:tcPr>
          <w:p w14:paraId="20A75675" w14:textId="2D49A480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5.43</w:t>
            </w:r>
          </w:p>
        </w:tc>
      </w:tr>
      <w:tr w:rsidR="00002659" w14:paraId="74264400" w14:textId="77777777" w:rsidTr="00F42117">
        <w:tc>
          <w:tcPr>
            <w:tcW w:w="709" w:type="dxa"/>
            <w:vAlign w:val="bottom"/>
          </w:tcPr>
          <w:p w14:paraId="4CBBC23B" w14:textId="5701C6CB" w:rsidR="00002659" w:rsidRDefault="00002659" w:rsidP="00002659">
            <w:r>
              <w:rPr>
                <w:rFonts w:ascii="Calibri" w:hAnsi="Calibri" w:cs="Calibri"/>
                <w:color w:val="000000"/>
              </w:rPr>
              <w:t>1930</w:t>
            </w:r>
          </w:p>
        </w:tc>
        <w:tc>
          <w:tcPr>
            <w:tcW w:w="1896" w:type="dxa"/>
            <w:vAlign w:val="bottom"/>
          </w:tcPr>
          <w:p w14:paraId="3760BF47" w14:textId="1ACDD563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Hack Wilson    </w:t>
            </w:r>
          </w:p>
        </w:tc>
        <w:tc>
          <w:tcPr>
            <w:tcW w:w="852" w:type="dxa"/>
            <w:vAlign w:val="bottom"/>
          </w:tcPr>
          <w:p w14:paraId="5A172D85" w14:textId="7EB5F414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583" w:type="dxa"/>
            <w:vAlign w:val="bottom"/>
          </w:tcPr>
          <w:p w14:paraId="463A2A39" w14:textId="25619515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51" w:type="dxa"/>
            <w:vAlign w:val="bottom"/>
          </w:tcPr>
          <w:p w14:paraId="40729D8E" w14:textId="2BA11D2C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10.86</w:t>
            </w:r>
          </w:p>
        </w:tc>
        <w:tc>
          <w:tcPr>
            <w:tcW w:w="1446" w:type="dxa"/>
            <w:vAlign w:val="bottom"/>
          </w:tcPr>
          <w:p w14:paraId="08132A0E" w14:textId="5EE8F2F4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11.2</w:t>
            </w:r>
          </w:p>
        </w:tc>
        <w:tc>
          <w:tcPr>
            <w:tcW w:w="1274" w:type="dxa"/>
            <w:vAlign w:val="bottom"/>
          </w:tcPr>
          <w:p w14:paraId="624109EA" w14:textId="29BD6FE8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4.03</w:t>
            </w:r>
          </w:p>
        </w:tc>
      </w:tr>
      <w:tr w:rsidR="00002659" w14:paraId="63DA163C" w14:textId="77777777" w:rsidTr="00F42117">
        <w:tc>
          <w:tcPr>
            <w:tcW w:w="709" w:type="dxa"/>
            <w:vAlign w:val="bottom"/>
          </w:tcPr>
          <w:p w14:paraId="153ACB13" w14:textId="7A344FAE" w:rsidR="00002659" w:rsidRDefault="00002659" w:rsidP="00002659">
            <w:r>
              <w:rPr>
                <w:rFonts w:ascii="Calibri" w:hAnsi="Calibri" w:cs="Calibri"/>
                <w:color w:val="000000"/>
              </w:rPr>
              <w:t>1932</w:t>
            </w:r>
          </w:p>
        </w:tc>
        <w:tc>
          <w:tcPr>
            <w:tcW w:w="1896" w:type="dxa"/>
            <w:vAlign w:val="bottom"/>
          </w:tcPr>
          <w:p w14:paraId="0B8D5BA4" w14:textId="5B3BA8F6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Jimmie Foxx    </w:t>
            </w:r>
          </w:p>
        </w:tc>
        <w:tc>
          <w:tcPr>
            <w:tcW w:w="852" w:type="dxa"/>
            <w:vAlign w:val="bottom"/>
          </w:tcPr>
          <w:p w14:paraId="49015DD9" w14:textId="7A4B146D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583" w:type="dxa"/>
            <w:vAlign w:val="bottom"/>
          </w:tcPr>
          <w:p w14:paraId="547A1B4F" w14:textId="2D5BA437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51" w:type="dxa"/>
            <w:vAlign w:val="bottom"/>
          </w:tcPr>
          <w:p w14:paraId="6B76787E" w14:textId="2FB7AD52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1446" w:type="dxa"/>
            <w:vAlign w:val="bottom"/>
          </w:tcPr>
          <w:p w14:paraId="3AF96EF6" w14:textId="3480E660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10.32</w:t>
            </w:r>
          </w:p>
        </w:tc>
        <w:tc>
          <w:tcPr>
            <w:tcW w:w="1274" w:type="dxa"/>
            <w:vAlign w:val="bottom"/>
          </w:tcPr>
          <w:p w14:paraId="0E22B082" w14:textId="5012C492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4.79</w:t>
            </w:r>
          </w:p>
        </w:tc>
      </w:tr>
      <w:tr w:rsidR="00002659" w14:paraId="1837ADA0" w14:textId="77777777" w:rsidTr="00F42117">
        <w:tc>
          <w:tcPr>
            <w:tcW w:w="709" w:type="dxa"/>
            <w:vAlign w:val="bottom"/>
          </w:tcPr>
          <w:p w14:paraId="024B24E2" w14:textId="43E1C2AB" w:rsidR="00002659" w:rsidRDefault="00002659" w:rsidP="00002659">
            <w:r>
              <w:rPr>
                <w:rFonts w:ascii="Calibri" w:hAnsi="Calibri" w:cs="Calibri"/>
                <w:color w:val="000000"/>
              </w:rPr>
              <w:t>1938</w:t>
            </w:r>
          </w:p>
        </w:tc>
        <w:tc>
          <w:tcPr>
            <w:tcW w:w="1896" w:type="dxa"/>
            <w:vAlign w:val="bottom"/>
          </w:tcPr>
          <w:p w14:paraId="17D29F96" w14:textId="6B0934CE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Hank Greenberg </w:t>
            </w:r>
          </w:p>
        </w:tc>
        <w:tc>
          <w:tcPr>
            <w:tcW w:w="852" w:type="dxa"/>
            <w:vAlign w:val="bottom"/>
          </w:tcPr>
          <w:p w14:paraId="0640FACA" w14:textId="1339E687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583" w:type="dxa"/>
            <w:vAlign w:val="bottom"/>
          </w:tcPr>
          <w:p w14:paraId="05E1D1D5" w14:textId="2F4D78A0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51" w:type="dxa"/>
            <w:vAlign w:val="bottom"/>
          </w:tcPr>
          <w:p w14:paraId="433B7F91" w14:textId="4A1952B7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1446" w:type="dxa"/>
            <w:vAlign w:val="bottom"/>
          </w:tcPr>
          <w:p w14:paraId="5C99B770" w14:textId="4886FFFC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11.88</w:t>
            </w:r>
          </w:p>
        </w:tc>
        <w:tc>
          <w:tcPr>
            <w:tcW w:w="1274" w:type="dxa"/>
            <w:vAlign w:val="bottom"/>
          </w:tcPr>
          <w:p w14:paraId="101F34C2" w14:textId="7E1747A7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3.91</w:t>
            </w:r>
          </w:p>
        </w:tc>
      </w:tr>
      <w:tr w:rsidR="00002659" w14:paraId="1341A186" w14:textId="77777777" w:rsidTr="00F42117">
        <w:tc>
          <w:tcPr>
            <w:tcW w:w="709" w:type="dxa"/>
            <w:vAlign w:val="bottom"/>
          </w:tcPr>
          <w:p w14:paraId="6C1442B6" w14:textId="46F5E8B9" w:rsidR="00002659" w:rsidRDefault="00002659" w:rsidP="00002659">
            <w:r>
              <w:rPr>
                <w:rFonts w:ascii="Calibri" w:hAnsi="Calibri" w:cs="Calibri"/>
                <w:color w:val="000000"/>
              </w:rPr>
              <w:t>1949</w:t>
            </w:r>
          </w:p>
        </w:tc>
        <w:tc>
          <w:tcPr>
            <w:tcW w:w="1896" w:type="dxa"/>
            <w:vAlign w:val="bottom"/>
          </w:tcPr>
          <w:p w14:paraId="6050280B" w14:textId="6EDB383B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Ralph Kiner    </w:t>
            </w:r>
          </w:p>
        </w:tc>
        <w:tc>
          <w:tcPr>
            <w:tcW w:w="852" w:type="dxa"/>
            <w:vAlign w:val="bottom"/>
          </w:tcPr>
          <w:p w14:paraId="7E1D056F" w14:textId="422A5113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583" w:type="dxa"/>
            <w:vAlign w:val="bottom"/>
          </w:tcPr>
          <w:p w14:paraId="3A66728E" w14:textId="6C751912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51" w:type="dxa"/>
            <w:vAlign w:val="bottom"/>
          </w:tcPr>
          <w:p w14:paraId="0745758D" w14:textId="634FB934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10.87</w:t>
            </w:r>
          </w:p>
        </w:tc>
        <w:tc>
          <w:tcPr>
            <w:tcW w:w="1446" w:type="dxa"/>
            <w:vAlign w:val="bottom"/>
          </w:tcPr>
          <w:p w14:paraId="0EBB4C09" w14:textId="0480EEDD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9.78</w:t>
            </w:r>
          </w:p>
        </w:tc>
        <w:tc>
          <w:tcPr>
            <w:tcW w:w="1274" w:type="dxa"/>
            <w:vAlign w:val="bottom"/>
          </w:tcPr>
          <w:p w14:paraId="4260B662" w14:textId="61584822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4.41</w:t>
            </w:r>
          </w:p>
        </w:tc>
      </w:tr>
      <w:tr w:rsidR="00002659" w14:paraId="0B710990" w14:textId="77777777" w:rsidTr="00F42117">
        <w:tc>
          <w:tcPr>
            <w:tcW w:w="709" w:type="dxa"/>
            <w:vAlign w:val="bottom"/>
          </w:tcPr>
          <w:p w14:paraId="3E80EA81" w14:textId="62EDC970" w:rsidR="00002659" w:rsidRDefault="00002659" w:rsidP="00002659">
            <w:r>
              <w:rPr>
                <w:rFonts w:ascii="Calibri" w:hAnsi="Calibri" w:cs="Calibri"/>
                <w:color w:val="000000"/>
              </w:rPr>
              <w:t>1954</w:t>
            </w:r>
          </w:p>
        </w:tc>
        <w:tc>
          <w:tcPr>
            <w:tcW w:w="1896" w:type="dxa"/>
            <w:vAlign w:val="bottom"/>
          </w:tcPr>
          <w:p w14:paraId="72B1253C" w14:textId="04EC0DD4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Ted </w:t>
            </w:r>
            <w:proofErr w:type="spellStart"/>
            <w:r>
              <w:rPr>
                <w:rFonts w:ascii="Calibri" w:hAnsi="Calibri" w:cs="Calibri"/>
                <w:color w:val="000000"/>
              </w:rPr>
              <w:t>Kluszewski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52" w:type="dxa"/>
            <w:vAlign w:val="bottom"/>
          </w:tcPr>
          <w:p w14:paraId="10EE6EDA" w14:textId="71FCED6E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583" w:type="dxa"/>
            <w:vAlign w:val="bottom"/>
          </w:tcPr>
          <w:p w14:paraId="261F6502" w14:textId="0F2D8B6D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151" w:type="dxa"/>
            <w:vAlign w:val="bottom"/>
          </w:tcPr>
          <w:p w14:paraId="1D72BFF7" w14:textId="614A8ED1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14.01</w:t>
            </w:r>
          </w:p>
        </w:tc>
        <w:tc>
          <w:tcPr>
            <w:tcW w:w="1446" w:type="dxa"/>
            <w:vAlign w:val="bottom"/>
          </w:tcPr>
          <w:p w14:paraId="563B3016" w14:textId="0455C6F0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11.7</w:t>
            </w:r>
          </w:p>
        </w:tc>
        <w:tc>
          <w:tcPr>
            <w:tcW w:w="1274" w:type="dxa"/>
            <w:vAlign w:val="bottom"/>
          </w:tcPr>
          <w:p w14:paraId="37B08F2A" w14:textId="69BDA4F3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</w:tr>
      <w:tr w:rsidR="00002659" w14:paraId="14C20EB6" w14:textId="77777777" w:rsidTr="00F42117">
        <w:tc>
          <w:tcPr>
            <w:tcW w:w="709" w:type="dxa"/>
            <w:vAlign w:val="bottom"/>
          </w:tcPr>
          <w:p w14:paraId="01172F93" w14:textId="5755AB6C" w:rsidR="00002659" w:rsidRDefault="00002659" w:rsidP="00002659"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1896" w:type="dxa"/>
            <w:vAlign w:val="bottom"/>
          </w:tcPr>
          <w:p w14:paraId="7188D405" w14:textId="028DB439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Mickey Mantle  </w:t>
            </w:r>
          </w:p>
        </w:tc>
        <w:tc>
          <w:tcPr>
            <w:tcW w:w="852" w:type="dxa"/>
            <w:vAlign w:val="bottom"/>
          </w:tcPr>
          <w:p w14:paraId="293AB7CF" w14:textId="3358C26C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583" w:type="dxa"/>
            <w:vAlign w:val="bottom"/>
          </w:tcPr>
          <w:p w14:paraId="4CAA461B" w14:textId="6F27682C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151" w:type="dxa"/>
            <w:vAlign w:val="bottom"/>
          </w:tcPr>
          <w:p w14:paraId="3B5065B5" w14:textId="55D45000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13.34</w:t>
            </w:r>
          </w:p>
        </w:tc>
        <w:tc>
          <w:tcPr>
            <w:tcW w:w="1446" w:type="dxa"/>
            <w:vAlign w:val="bottom"/>
          </w:tcPr>
          <w:p w14:paraId="165A99D0" w14:textId="4D0DFF1E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9.39</w:t>
            </w:r>
          </w:p>
        </w:tc>
        <w:tc>
          <w:tcPr>
            <w:tcW w:w="1274" w:type="dxa"/>
            <w:vAlign w:val="bottom"/>
          </w:tcPr>
          <w:p w14:paraId="2CCB77DC" w14:textId="2D010A0D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4.12</w:t>
            </w:r>
          </w:p>
        </w:tc>
      </w:tr>
      <w:tr w:rsidR="00002659" w14:paraId="1BCD7CC9" w14:textId="77777777" w:rsidTr="00F42117">
        <w:tc>
          <w:tcPr>
            <w:tcW w:w="709" w:type="dxa"/>
            <w:vAlign w:val="bottom"/>
          </w:tcPr>
          <w:p w14:paraId="0C1AC415" w14:textId="0C9E30FE" w:rsidR="00002659" w:rsidRDefault="00002659" w:rsidP="00002659">
            <w:r>
              <w:rPr>
                <w:rFonts w:ascii="Calibri" w:hAnsi="Calibri" w:cs="Calibri"/>
                <w:color w:val="000000"/>
              </w:rPr>
              <w:t>1961</w:t>
            </w:r>
          </w:p>
        </w:tc>
        <w:tc>
          <w:tcPr>
            <w:tcW w:w="1896" w:type="dxa"/>
            <w:vAlign w:val="bottom"/>
          </w:tcPr>
          <w:p w14:paraId="79E11F4F" w14:textId="1147A75B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Roger Maris    </w:t>
            </w:r>
          </w:p>
        </w:tc>
        <w:tc>
          <w:tcPr>
            <w:tcW w:w="852" w:type="dxa"/>
            <w:vAlign w:val="bottom"/>
          </w:tcPr>
          <w:p w14:paraId="4C7B170E" w14:textId="2F00BE63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583" w:type="dxa"/>
            <w:vAlign w:val="bottom"/>
          </w:tcPr>
          <w:p w14:paraId="29304995" w14:textId="4A94A505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151" w:type="dxa"/>
            <w:vAlign w:val="bottom"/>
          </w:tcPr>
          <w:p w14:paraId="3C839645" w14:textId="438B8E7A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15.01</w:t>
            </w:r>
          </w:p>
        </w:tc>
        <w:tc>
          <w:tcPr>
            <w:tcW w:w="1446" w:type="dxa"/>
            <w:vAlign w:val="bottom"/>
          </w:tcPr>
          <w:p w14:paraId="1F28B74D" w14:textId="5BE5BA1B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12.34</w:t>
            </w:r>
          </w:p>
        </w:tc>
        <w:tc>
          <w:tcPr>
            <w:tcW w:w="1274" w:type="dxa"/>
            <w:vAlign w:val="bottom"/>
          </w:tcPr>
          <w:p w14:paraId="780CBD77" w14:textId="17218B35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3.73</w:t>
            </w:r>
          </w:p>
        </w:tc>
      </w:tr>
      <w:tr w:rsidR="00002659" w14:paraId="23249EE0" w14:textId="77777777" w:rsidTr="00F42117">
        <w:tc>
          <w:tcPr>
            <w:tcW w:w="709" w:type="dxa"/>
            <w:vAlign w:val="bottom"/>
          </w:tcPr>
          <w:p w14:paraId="6C3E3DC0" w14:textId="2BCA4330" w:rsidR="00002659" w:rsidRDefault="00002659" w:rsidP="00002659"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1896" w:type="dxa"/>
            <w:vAlign w:val="bottom"/>
          </w:tcPr>
          <w:p w14:paraId="2AD3CEE2" w14:textId="20414200" w:rsidR="00002659" w:rsidRDefault="00002659" w:rsidP="00002659">
            <w:r>
              <w:rPr>
                <w:rFonts w:ascii="Calibri" w:hAnsi="Calibri" w:cs="Calibri"/>
                <w:color w:val="000000"/>
              </w:rPr>
              <w:t>Carl Yastrzemski Harmon Killebrew</w:t>
            </w:r>
          </w:p>
        </w:tc>
        <w:tc>
          <w:tcPr>
            <w:tcW w:w="852" w:type="dxa"/>
            <w:vAlign w:val="bottom"/>
          </w:tcPr>
          <w:p w14:paraId="1AB48FBE" w14:textId="5A34BDD9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583" w:type="dxa"/>
            <w:vAlign w:val="bottom"/>
          </w:tcPr>
          <w:p w14:paraId="1BFB251F" w14:textId="31EE06EA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51" w:type="dxa"/>
            <w:vAlign w:val="bottom"/>
          </w:tcPr>
          <w:p w14:paraId="0CCBD97A" w14:textId="138C1A46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11.87</w:t>
            </w:r>
          </w:p>
        </w:tc>
        <w:tc>
          <w:tcPr>
            <w:tcW w:w="1446" w:type="dxa"/>
            <w:vAlign w:val="bottom"/>
          </w:tcPr>
          <w:p w14:paraId="0362CE2D" w14:textId="00D8AC0D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8.99</w:t>
            </w:r>
          </w:p>
        </w:tc>
        <w:tc>
          <w:tcPr>
            <w:tcW w:w="1274" w:type="dxa"/>
            <w:vAlign w:val="bottom"/>
          </w:tcPr>
          <w:p w14:paraId="008C5850" w14:textId="134D202E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3.57</w:t>
            </w:r>
          </w:p>
        </w:tc>
      </w:tr>
      <w:tr w:rsidR="00002659" w14:paraId="5418D7A6" w14:textId="77777777" w:rsidTr="00F42117">
        <w:tc>
          <w:tcPr>
            <w:tcW w:w="709" w:type="dxa"/>
            <w:vAlign w:val="bottom"/>
          </w:tcPr>
          <w:p w14:paraId="26385D6C" w14:textId="098043C9" w:rsidR="00002659" w:rsidRDefault="00002659" w:rsidP="00002659">
            <w:r>
              <w:rPr>
                <w:rFonts w:ascii="Calibri" w:hAnsi="Calibri" w:cs="Calibri"/>
                <w:color w:val="000000"/>
              </w:rPr>
              <w:t>1990</w:t>
            </w:r>
          </w:p>
        </w:tc>
        <w:tc>
          <w:tcPr>
            <w:tcW w:w="1896" w:type="dxa"/>
            <w:vAlign w:val="bottom"/>
          </w:tcPr>
          <w:p w14:paraId="5B64C064" w14:textId="67844173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Cecil Fielder  </w:t>
            </w:r>
          </w:p>
        </w:tc>
        <w:tc>
          <w:tcPr>
            <w:tcW w:w="852" w:type="dxa"/>
            <w:vAlign w:val="bottom"/>
          </w:tcPr>
          <w:p w14:paraId="43359318" w14:textId="5143EE5F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583" w:type="dxa"/>
            <w:vAlign w:val="bottom"/>
          </w:tcPr>
          <w:p w14:paraId="7958E698" w14:textId="361C8545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151" w:type="dxa"/>
            <w:vAlign w:val="bottom"/>
          </w:tcPr>
          <w:p w14:paraId="62933E1E" w14:textId="7F31869F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11.12</w:t>
            </w:r>
          </w:p>
        </w:tc>
        <w:tc>
          <w:tcPr>
            <w:tcW w:w="1446" w:type="dxa"/>
            <w:vAlign w:val="bottom"/>
          </w:tcPr>
          <w:p w14:paraId="45C2EA20" w14:textId="2A068ACF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8.74</w:t>
            </w:r>
          </w:p>
        </w:tc>
        <w:tc>
          <w:tcPr>
            <w:tcW w:w="1274" w:type="dxa"/>
            <w:vAlign w:val="bottom"/>
          </w:tcPr>
          <w:p w14:paraId="619CB6AC" w14:textId="5807E337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4.56</w:t>
            </w:r>
          </w:p>
        </w:tc>
      </w:tr>
      <w:tr w:rsidR="00002659" w14:paraId="58DE8FB4" w14:textId="77777777" w:rsidTr="00F42117">
        <w:tc>
          <w:tcPr>
            <w:tcW w:w="709" w:type="dxa"/>
            <w:vAlign w:val="bottom"/>
          </w:tcPr>
          <w:p w14:paraId="17FF367F" w14:textId="18B5241A" w:rsidR="00002659" w:rsidRDefault="00002659" w:rsidP="00002659">
            <w:r>
              <w:rPr>
                <w:rFonts w:ascii="Calibri" w:hAnsi="Calibri" w:cs="Calibri"/>
                <w:color w:val="000000"/>
              </w:rPr>
              <w:t>1998</w:t>
            </w:r>
          </w:p>
        </w:tc>
        <w:tc>
          <w:tcPr>
            <w:tcW w:w="1896" w:type="dxa"/>
            <w:vAlign w:val="bottom"/>
          </w:tcPr>
          <w:p w14:paraId="34DA5B43" w14:textId="57CFD216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Mark McGwire   </w:t>
            </w:r>
          </w:p>
        </w:tc>
        <w:tc>
          <w:tcPr>
            <w:tcW w:w="852" w:type="dxa"/>
            <w:vAlign w:val="bottom"/>
          </w:tcPr>
          <w:p w14:paraId="37EBEADD" w14:textId="63DF1F3D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583" w:type="dxa"/>
            <w:vAlign w:val="bottom"/>
          </w:tcPr>
          <w:p w14:paraId="709DEBBC" w14:textId="01BE6019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151" w:type="dxa"/>
            <w:vAlign w:val="bottom"/>
          </w:tcPr>
          <w:p w14:paraId="75698820" w14:textId="7F795900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15.44</w:t>
            </w:r>
          </w:p>
        </w:tc>
        <w:tc>
          <w:tcPr>
            <w:tcW w:w="1446" w:type="dxa"/>
            <w:vAlign w:val="bottom"/>
          </w:tcPr>
          <w:p w14:paraId="6C982524" w14:textId="6D583E80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12.48</w:t>
            </w:r>
          </w:p>
        </w:tc>
        <w:tc>
          <w:tcPr>
            <w:tcW w:w="1274" w:type="dxa"/>
            <w:vAlign w:val="bottom"/>
          </w:tcPr>
          <w:p w14:paraId="23D5B71D" w14:textId="6D629BD3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4.37</w:t>
            </w:r>
          </w:p>
        </w:tc>
      </w:tr>
      <w:tr w:rsidR="00002659" w14:paraId="40A5C503" w14:textId="77777777" w:rsidTr="00F42117">
        <w:tc>
          <w:tcPr>
            <w:tcW w:w="709" w:type="dxa"/>
            <w:vAlign w:val="bottom"/>
          </w:tcPr>
          <w:p w14:paraId="337198D7" w14:textId="7836C81E" w:rsidR="00002659" w:rsidRDefault="00002659" w:rsidP="00002659">
            <w:r>
              <w:rPr>
                <w:rFonts w:ascii="Calibri" w:hAnsi="Calibri" w:cs="Calibri"/>
                <w:color w:val="000000"/>
              </w:rPr>
              <w:t>2001</w:t>
            </w:r>
          </w:p>
        </w:tc>
        <w:tc>
          <w:tcPr>
            <w:tcW w:w="1896" w:type="dxa"/>
            <w:vAlign w:val="bottom"/>
          </w:tcPr>
          <w:p w14:paraId="28015051" w14:textId="5ABB72C1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Barry Bonds    </w:t>
            </w:r>
          </w:p>
        </w:tc>
        <w:tc>
          <w:tcPr>
            <w:tcW w:w="852" w:type="dxa"/>
            <w:vAlign w:val="bottom"/>
          </w:tcPr>
          <w:p w14:paraId="5572EF98" w14:textId="6ABADE72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583" w:type="dxa"/>
            <w:vAlign w:val="bottom"/>
          </w:tcPr>
          <w:p w14:paraId="355E6E97" w14:textId="1DF4A9A3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151" w:type="dxa"/>
            <w:vAlign w:val="bottom"/>
          </w:tcPr>
          <w:p w14:paraId="02C55E91" w14:textId="4E1C8D1C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18.03</w:t>
            </w:r>
          </w:p>
        </w:tc>
        <w:tc>
          <w:tcPr>
            <w:tcW w:w="1446" w:type="dxa"/>
            <w:vAlign w:val="bottom"/>
          </w:tcPr>
          <w:p w14:paraId="68C98DA1" w14:textId="385E3C2C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13.37</w:t>
            </w:r>
          </w:p>
        </w:tc>
        <w:tc>
          <w:tcPr>
            <w:tcW w:w="1274" w:type="dxa"/>
            <w:vAlign w:val="bottom"/>
          </w:tcPr>
          <w:p w14:paraId="174B5919" w14:textId="12372506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4.11</w:t>
            </w:r>
          </w:p>
        </w:tc>
      </w:tr>
      <w:tr w:rsidR="00002659" w14:paraId="37384FFA" w14:textId="77777777" w:rsidTr="00F42117">
        <w:tc>
          <w:tcPr>
            <w:tcW w:w="709" w:type="dxa"/>
            <w:vAlign w:val="bottom"/>
          </w:tcPr>
          <w:p w14:paraId="6C0E6861" w14:textId="68A81C75" w:rsidR="00002659" w:rsidRDefault="00002659" w:rsidP="00002659">
            <w:r>
              <w:rPr>
                <w:rFonts w:ascii="Calibri" w:hAnsi="Calibri" w:cs="Calibri"/>
                <w:color w:val="000000"/>
              </w:rPr>
              <w:t>2002</w:t>
            </w:r>
          </w:p>
        </w:tc>
        <w:tc>
          <w:tcPr>
            <w:tcW w:w="1896" w:type="dxa"/>
            <w:vAlign w:val="bottom"/>
          </w:tcPr>
          <w:p w14:paraId="7FC74513" w14:textId="642E2B01" w:rsidR="00002659" w:rsidRDefault="00002659" w:rsidP="00002659">
            <w:r>
              <w:rPr>
                <w:rFonts w:ascii="Calibri" w:hAnsi="Calibri" w:cs="Calibri"/>
                <w:color w:val="000000"/>
              </w:rPr>
              <w:t xml:space="preserve">Alex Rodriguez </w:t>
            </w:r>
          </w:p>
        </w:tc>
        <w:tc>
          <w:tcPr>
            <w:tcW w:w="852" w:type="dxa"/>
            <w:vAlign w:val="bottom"/>
          </w:tcPr>
          <w:p w14:paraId="1AB1E337" w14:textId="163AF4BC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583" w:type="dxa"/>
            <w:vAlign w:val="bottom"/>
          </w:tcPr>
          <w:p w14:paraId="35666B74" w14:textId="6ECB959A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51" w:type="dxa"/>
            <w:vAlign w:val="bottom"/>
          </w:tcPr>
          <w:p w14:paraId="35351D01" w14:textId="133735D3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15.83</w:t>
            </w:r>
          </w:p>
        </w:tc>
        <w:tc>
          <w:tcPr>
            <w:tcW w:w="1446" w:type="dxa"/>
            <w:vAlign w:val="bottom"/>
          </w:tcPr>
          <w:p w14:paraId="51A67D5D" w14:textId="4818A350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10.51</w:t>
            </w:r>
          </w:p>
        </w:tc>
        <w:tc>
          <w:tcPr>
            <w:tcW w:w="1274" w:type="dxa"/>
            <w:vAlign w:val="bottom"/>
          </w:tcPr>
          <w:p w14:paraId="7B2435FE" w14:textId="743E0EB9" w:rsidR="00002659" w:rsidRDefault="00002659" w:rsidP="005C68C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3.92</w:t>
            </w:r>
          </w:p>
        </w:tc>
      </w:tr>
    </w:tbl>
    <w:p w14:paraId="0E6F8824" w14:textId="4910C1A8" w:rsidR="009F0BD6" w:rsidRDefault="00CA2ED1">
      <w:r>
        <w:t xml:space="preserve">Interestingly, the best </w:t>
      </w:r>
      <w:r w:rsidR="00BE65FF">
        <w:t xml:space="preserve">HR season, in terms of Z-score, is Babe Ruth’s 1920 season where he ‘only’ hit 54 </w:t>
      </w:r>
      <w:proofErr w:type="spellStart"/>
      <w:r w:rsidR="00BE65FF">
        <w:t>HRs.</w:t>
      </w:r>
      <w:proofErr w:type="spellEnd"/>
      <w:r w:rsidR="00BE65FF">
        <w:t xml:space="preserve">  </w:t>
      </w:r>
      <w:r w:rsidR="002A6DC6">
        <w:t xml:space="preserve">That year, he stood over 6.5 standard deviations from </w:t>
      </w:r>
      <w:r w:rsidR="00C25C28">
        <w:t xml:space="preserve">the </w:t>
      </w:r>
      <w:r w:rsidR="002A6DC6">
        <w:t xml:space="preserve">mean making it far </w:t>
      </w:r>
      <w:r w:rsidR="00C25C28">
        <w:t xml:space="preserve">more </w:t>
      </w:r>
      <w:r w:rsidR="002A6DC6">
        <w:t xml:space="preserve">remarkable than Barry Bonds </w:t>
      </w:r>
      <w:r w:rsidR="0064103F">
        <w:t>73-HR season.  Sadly, Roger Maris’s 61*-HR season is one of th</w:t>
      </w:r>
      <w:r w:rsidR="00CE52C3">
        <w:t>e lower HR championships on the list</w:t>
      </w:r>
      <w:r w:rsidR="00180570">
        <w:t xml:space="preserve">.  </w:t>
      </w:r>
    </w:p>
    <w:p w14:paraId="4235CD6E" w14:textId="481C5511" w:rsidR="00180570" w:rsidRDefault="00180570">
      <w:r>
        <w:lastRenderedPageBreak/>
        <w:t xml:space="preserve">To be clear, it is unlikely that any true, dyed-in-the-wool, baseball fan will be </w:t>
      </w:r>
      <w:r w:rsidR="00F00476">
        <w:t xml:space="preserve">swayed by statistical arguments.  Afterall, where is the passion and grit in submitting an opinion to </w:t>
      </w:r>
      <w:r w:rsidR="002823CE">
        <w:t xml:space="preserve">the likes of cold, impartial logic.  Nonetheless, the Z-score is not only in its own right but </w:t>
      </w:r>
      <w:r w:rsidR="00E57159">
        <w:t xml:space="preserve">serves also as a launching pad for more sophisticated statistical measures.  </w:t>
      </w:r>
    </w:p>
    <w:sectPr w:rsidR="0018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4"/>
    <w:rsid w:val="00002659"/>
    <w:rsid w:val="000405C3"/>
    <w:rsid w:val="00064544"/>
    <w:rsid w:val="00064AEA"/>
    <w:rsid w:val="000964CD"/>
    <w:rsid w:val="000B5E76"/>
    <w:rsid w:val="000D2B83"/>
    <w:rsid w:val="000E02C9"/>
    <w:rsid w:val="000F3556"/>
    <w:rsid w:val="000F785F"/>
    <w:rsid w:val="00106B20"/>
    <w:rsid w:val="001111E4"/>
    <w:rsid w:val="001346F5"/>
    <w:rsid w:val="00154C44"/>
    <w:rsid w:val="001663FE"/>
    <w:rsid w:val="00172883"/>
    <w:rsid w:val="001761CD"/>
    <w:rsid w:val="00180570"/>
    <w:rsid w:val="00193A44"/>
    <w:rsid w:val="001B2384"/>
    <w:rsid w:val="001B2E6C"/>
    <w:rsid w:val="001C43C5"/>
    <w:rsid w:val="001E4602"/>
    <w:rsid w:val="001E4753"/>
    <w:rsid w:val="00205C84"/>
    <w:rsid w:val="00212733"/>
    <w:rsid w:val="00254D63"/>
    <w:rsid w:val="00257F10"/>
    <w:rsid w:val="00263A7A"/>
    <w:rsid w:val="0027380A"/>
    <w:rsid w:val="00277640"/>
    <w:rsid w:val="002823CE"/>
    <w:rsid w:val="002855E2"/>
    <w:rsid w:val="00295121"/>
    <w:rsid w:val="002A3C7E"/>
    <w:rsid w:val="002A6DC6"/>
    <w:rsid w:val="002C1C20"/>
    <w:rsid w:val="002C34EC"/>
    <w:rsid w:val="002C4A75"/>
    <w:rsid w:val="0030597D"/>
    <w:rsid w:val="00320A01"/>
    <w:rsid w:val="00367DE0"/>
    <w:rsid w:val="00392330"/>
    <w:rsid w:val="003A0CB6"/>
    <w:rsid w:val="003A4377"/>
    <w:rsid w:val="003D0D6B"/>
    <w:rsid w:val="00426CD9"/>
    <w:rsid w:val="00433967"/>
    <w:rsid w:val="00436D59"/>
    <w:rsid w:val="00446FCB"/>
    <w:rsid w:val="00455DEB"/>
    <w:rsid w:val="00457E52"/>
    <w:rsid w:val="00461CDA"/>
    <w:rsid w:val="004B3ED0"/>
    <w:rsid w:val="004D7811"/>
    <w:rsid w:val="004F6253"/>
    <w:rsid w:val="005035E4"/>
    <w:rsid w:val="00523678"/>
    <w:rsid w:val="00531CA2"/>
    <w:rsid w:val="0054453C"/>
    <w:rsid w:val="0055532C"/>
    <w:rsid w:val="00562BB1"/>
    <w:rsid w:val="00564743"/>
    <w:rsid w:val="00564DCE"/>
    <w:rsid w:val="005A4FAD"/>
    <w:rsid w:val="005C68CF"/>
    <w:rsid w:val="005D27F0"/>
    <w:rsid w:val="005D7134"/>
    <w:rsid w:val="0060031C"/>
    <w:rsid w:val="00610797"/>
    <w:rsid w:val="00611C0A"/>
    <w:rsid w:val="00637ADE"/>
    <w:rsid w:val="0064103F"/>
    <w:rsid w:val="0068707A"/>
    <w:rsid w:val="00694B18"/>
    <w:rsid w:val="00695374"/>
    <w:rsid w:val="006B22A8"/>
    <w:rsid w:val="006F7A97"/>
    <w:rsid w:val="006F7B25"/>
    <w:rsid w:val="007017E4"/>
    <w:rsid w:val="00711E09"/>
    <w:rsid w:val="0071539B"/>
    <w:rsid w:val="00715650"/>
    <w:rsid w:val="00756828"/>
    <w:rsid w:val="007603BD"/>
    <w:rsid w:val="00770EEE"/>
    <w:rsid w:val="0078296F"/>
    <w:rsid w:val="00791A32"/>
    <w:rsid w:val="007A1404"/>
    <w:rsid w:val="007A4639"/>
    <w:rsid w:val="007C3E97"/>
    <w:rsid w:val="007D3FF8"/>
    <w:rsid w:val="007E7989"/>
    <w:rsid w:val="008079B7"/>
    <w:rsid w:val="008256D3"/>
    <w:rsid w:val="00866395"/>
    <w:rsid w:val="00874D04"/>
    <w:rsid w:val="00881B82"/>
    <w:rsid w:val="00882F08"/>
    <w:rsid w:val="0088530F"/>
    <w:rsid w:val="008873B3"/>
    <w:rsid w:val="00891D6F"/>
    <w:rsid w:val="0089547B"/>
    <w:rsid w:val="00895648"/>
    <w:rsid w:val="008B0FD7"/>
    <w:rsid w:val="008C422A"/>
    <w:rsid w:val="008D37CD"/>
    <w:rsid w:val="00903723"/>
    <w:rsid w:val="009065D6"/>
    <w:rsid w:val="00917E71"/>
    <w:rsid w:val="009321FC"/>
    <w:rsid w:val="00932F3A"/>
    <w:rsid w:val="009379A1"/>
    <w:rsid w:val="00937CE5"/>
    <w:rsid w:val="00975072"/>
    <w:rsid w:val="00983DF8"/>
    <w:rsid w:val="0098680F"/>
    <w:rsid w:val="009A12EB"/>
    <w:rsid w:val="009D7091"/>
    <w:rsid w:val="009F0BD6"/>
    <w:rsid w:val="00A05E3E"/>
    <w:rsid w:val="00A20FBC"/>
    <w:rsid w:val="00A63A3B"/>
    <w:rsid w:val="00A66576"/>
    <w:rsid w:val="00A7333E"/>
    <w:rsid w:val="00A919E9"/>
    <w:rsid w:val="00AD70EB"/>
    <w:rsid w:val="00B03578"/>
    <w:rsid w:val="00B05BE0"/>
    <w:rsid w:val="00B143C3"/>
    <w:rsid w:val="00B2023A"/>
    <w:rsid w:val="00B250BB"/>
    <w:rsid w:val="00B31BA4"/>
    <w:rsid w:val="00B34ABD"/>
    <w:rsid w:val="00B45828"/>
    <w:rsid w:val="00B475D1"/>
    <w:rsid w:val="00B61751"/>
    <w:rsid w:val="00B65AD7"/>
    <w:rsid w:val="00B968DB"/>
    <w:rsid w:val="00B96B9D"/>
    <w:rsid w:val="00BE1B2B"/>
    <w:rsid w:val="00BE65FF"/>
    <w:rsid w:val="00C25C28"/>
    <w:rsid w:val="00C2632D"/>
    <w:rsid w:val="00C36116"/>
    <w:rsid w:val="00C67F3C"/>
    <w:rsid w:val="00C77AEA"/>
    <w:rsid w:val="00C969C2"/>
    <w:rsid w:val="00CA0F0F"/>
    <w:rsid w:val="00CA2ED1"/>
    <w:rsid w:val="00CA4580"/>
    <w:rsid w:val="00CB1B91"/>
    <w:rsid w:val="00CB6178"/>
    <w:rsid w:val="00CE07F7"/>
    <w:rsid w:val="00CE52C3"/>
    <w:rsid w:val="00CF53EF"/>
    <w:rsid w:val="00D157A8"/>
    <w:rsid w:val="00D34B34"/>
    <w:rsid w:val="00D50014"/>
    <w:rsid w:val="00D63DA2"/>
    <w:rsid w:val="00D67882"/>
    <w:rsid w:val="00D842C7"/>
    <w:rsid w:val="00D96B63"/>
    <w:rsid w:val="00DA0C0B"/>
    <w:rsid w:val="00DB6EA7"/>
    <w:rsid w:val="00DC0786"/>
    <w:rsid w:val="00DC5DBC"/>
    <w:rsid w:val="00DD777C"/>
    <w:rsid w:val="00E01157"/>
    <w:rsid w:val="00E07127"/>
    <w:rsid w:val="00E20D52"/>
    <w:rsid w:val="00E37AD0"/>
    <w:rsid w:val="00E43845"/>
    <w:rsid w:val="00E450E3"/>
    <w:rsid w:val="00E4732F"/>
    <w:rsid w:val="00E47391"/>
    <w:rsid w:val="00E57159"/>
    <w:rsid w:val="00E8688C"/>
    <w:rsid w:val="00EA0AB0"/>
    <w:rsid w:val="00EB4929"/>
    <w:rsid w:val="00EB6D79"/>
    <w:rsid w:val="00EC393C"/>
    <w:rsid w:val="00EC5A14"/>
    <w:rsid w:val="00ED0A0A"/>
    <w:rsid w:val="00F00476"/>
    <w:rsid w:val="00F0463C"/>
    <w:rsid w:val="00F17279"/>
    <w:rsid w:val="00F2744B"/>
    <w:rsid w:val="00F3736A"/>
    <w:rsid w:val="00F4032E"/>
    <w:rsid w:val="00F57BB8"/>
    <w:rsid w:val="00F675F6"/>
    <w:rsid w:val="00F75F94"/>
    <w:rsid w:val="00F82444"/>
    <w:rsid w:val="00F944CC"/>
    <w:rsid w:val="00FA4568"/>
    <w:rsid w:val="00F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F5B2"/>
  <w15:chartTrackingRefBased/>
  <w15:docId w15:val="{C556BFD7-C27D-4EE1-85EF-3039F597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FB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0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istotle2digital.blogwyrm.com/?p=6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evin_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ry_of_baseball_in_the_United_States#The_steroid_e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61*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oetryfoundation.org/poems/45362/locksley-hall" TargetMode="External"/><Relationship Id="rId9" Type="http://schemas.openxmlformats.org/officeDocument/2006/relationships/hyperlink" Target="https://www.google.com/url?sa=t&amp;rct=j&amp;q=&amp;esrc=s&amp;source=web&amp;cd=&amp;ved=2ahUKEwiOz-6p4vOAAxV-k2oFHb3YB8EQFnoECBkQAQ&amp;url=https%3A%2F%2Fiase-web.org%2Fdocuments%2Fpapers%2Ficots7%2FC432.pdf%3F1402524967&amp;usg=AOvVaw1jZcjitKxN7-gAQ_H9lCEM&amp;opi=89978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3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113</cp:revision>
  <dcterms:created xsi:type="dcterms:W3CDTF">2023-08-23T20:35:00Z</dcterms:created>
  <dcterms:modified xsi:type="dcterms:W3CDTF">2023-08-24T23:54:00Z</dcterms:modified>
</cp:coreProperties>
</file>